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7F8B7" w14:textId="57020282" w:rsidR="00786B07" w:rsidRDefault="001B1ECB" w:rsidP="00786B07">
      <w:pPr>
        <w:pStyle w:val="Title"/>
      </w:pPr>
      <w:r>
        <w:t>S</w:t>
      </w:r>
      <w:r w:rsidR="00786B07">
        <w:t>tate University of New York</w:t>
      </w:r>
    </w:p>
    <w:p w14:paraId="060D400D" w14:textId="0D95D8A3" w:rsidR="00786B07" w:rsidRDefault="00786B07" w:rsidP="00786B07">
      <w:pPr>
        <w:pStyle w:val="Subtitle"/>
      </w:pPr>
      <w:r>
        <w:t xml:space="preserve">FLSA Administrative Exemption </w:t>
      </w:r>
      <w:r w:rsidR="00940B4A">
        <w:t>Review</w:t>
      </w:r>
    </w:p>
    <w:p w14:paraId="455EF5B5" w14:textId="77777777" w:rsidR="00786B07" w:rsidRDefault="00786B07" w:rsidP="00786B07">
      <w:pPr>
        <w:jc w:val="both"/>
        <w:rPr>
          <w:sz w:val="20"/>
          <w:szCs w:val="20"/>
        </w:rPr>
      </w:pPr>
    </w:p>
    <w:tbl>
      <w:tblPr>
        <w:tblW w:w="0" w:type="auto"/>
        <w:tblLook w:val="01E0" w:firstRow="1" w:lastRow="1" w:firstColumn="1" w:lastColumn="1" w:noHBand="0" w:noVBand="0"/>
      </w:tblPr>
      <w:tblGrid>
        <w:gridCol w:w="1548"/>
        <w:gridCol w:w="3780"/>
        <w:gridCol w:w="1620"/>
        <w:gridCol w:w="3780"/>
      </w:tblGrid>
      <w:tr w:rsidR="00786B07" w14:paraId="3B9E9FDA" w14:textId="77777777" w:rsidTr="00180815">
        <w:trPr>
          <w:trHeight w:val="288"/>
        </w:trPr>
        <w:tc>
          <w:tcPr>
            <w:tcW w:w="1548" w:type="dxa"/>
            <w:vAlign w:val="bottom"/>
          </w:tcPr>
          <w:p w14:paraId="6705096D" w14:textId="77777777" w:rsidR="00786B07" w:rsidRDefault="00786B07" w:rsidP="00180815">
            <w:pPr>
              <w:rPr>
                <w:sz w:val="20"/>
                <w:szCs w:val="20"/>
              </w:rPr>
            </w:pPr>
            <w:r>
              <w:rPr>
                <w:sz w:val="20"/>
                <w:szCs w:val="20"/>
              </w:rPr>
              <w:t>Position/Title</w:t>
            </w:r>
          </w:p>
        </w:tc>
        <w:tc>
          <w:tcPr>
            <w:tcW w:w="3780" w:type="dxa"/>
            <w:tcBorders>
              <w:bottom w:val="single" w:sz="4" w:space="0" w:color="auto"/>
            </w:tcBorders>
            <w:vAlign w:val="bottom"/>
          </w:tcPr>
          <w:p w14:paraId="47479149" w14:textId="77777777" w:rsidR="00786B07" w:rsidRDefault="00786B07" w:rsidP="00180815">
            <w:pPr>
              <w:rPr>
                <w:i/>
                <w:sz w:val="20"/>
                <w:szCs w:val="20"/>
              </w:rPr>
            </w:pPr>
            <w:r>
              <w:rPr>
                <w:i/>
                <w:sz w:val="20"/>
                <w:szCs w:val="20"/>
              </w:rPr>
              <w:fldChar w:fldCharType="begin">
                <w:ffData>
                  <w:name w:val="Text1"/>
                  <w:enabled/>
                  <w:calcOnExit w:val="0"/>
                  <w:textInput/>
                </w:ffData>
              </w:fldChar>
            </w:r>
            <w:bookmarkStart w:id="0" w:name="Text1"/>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0"/>
          </w:p>
        </w:tc>
        <w:tc>
          <w:tcPr>
            <w:tcW w:w="1620" w:type="dxa"/>
            <w:vAlign w:val="bottom"/>
          </w:tcPr>
          <w:p w14:paraId="1F9D6C92" w14:textId="77777777" w:rsidR="00786B07" w:rsidRDefault="00786B07" w:rsidP="00180815">
            <w:pPr>
              <w:rPr>
                <w:sz w:val="20"/>
                <w:szCs w:val="20"/>
              </w:rPr>
            </w:pPr>
            <w:r>
              <w:rPr>
                <w:sz w:val="20"/>
                <w:szCs w:val="20"/>
              </w:rPr>
              <w:t>Campus Title:</w:t>
            </w:r>
          </w:p>
        </w:tc>
        <w:tc>
          <w:tcPr>
            <w:tcW w:w="3780" w:type="dxa"/>
            <w:tcBorders>
              <w:bottom w:val="single" w:sz="4" w:space="0" w:color="auto"/>
            </w:tcBorders>
            <w:vAlign w:val="bottom"/>
          </w:tcPr>
          <w:p w14:paraId="755AE8B7" w14:textId="77777777" w:rsidR="00786B07" w:rsidRDefault="00786B07" w:rsidP="00180815">
            <w:pPr>
              <w:rPr>
                <w:i/>
                <w:sz w:val="20"/>
                <w:szCs w:val="20"/>
              </w:rPr>
            </w:pPr>
            <w:r>
              <w:rPr>
                <w:i/>
                <w:sz w:val="20"/>
                <w:szCs w:val="20"/>
              </w:rPr>
              <w:fldChar w:fldCharType="begin">
                <w:ffData>
                  <w:name w:val="Text4"/>
                  <w:enabled/>
                  <w:calcOnExit w:val="0"/>
                  <w:textInput/>
                </w:ffData>
              </w:fldChar>
            </w:r>
            <w:bookmarkStart w:id="1" w:name="Text4"/>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
          </w:p>
        </w:tc>
      </w:tr>
      <w:tr w:rsidR="00786B07" w14:paraId="417FEE8B" w14:textId="77777777" w:rsidTr="00180815">
        <w:trPr>
          <w:trHeight w:val="288"/>
        </w:trPr>
        <w:tc>
          <w:tcPr>
            <w:tcW w:w="1548" w:type="dxa"/>
            <w:vAlign w:val="bottom"/>
          </w:tcPr>
          <w:p w14:paraId="4F675346" w14:textId="77777777" w:rsidR="00786B07" w:rsidRDefault="00786B07" w:rsidP="00180815">
            <w:pPr>
              <w:rPr>
                <w:sz w:val="20"/>
                <w:szCs w:val="20"/>
              </w:rPr>
            </w:pPr>
            <w:r>
              <w:rPr>
                <w:sz w:val="20"/>
                <w:szCs w:val="20"/>
              </w:rPr>
              <w:t>Salary Level:</w:t>
            </w:r>
          </w:p>
        </w:tc>
        <w:tc>
          <w:tcPr>
            <w:tcW w:w="3780" w:type="dxa"/>
            <w:tcBorders>
              <w:top w:val="single" w:sz="4" w:space="0" w:color="auto"/>
              <w:bottom w:val="single" w:sz="4" w:space="0" w:color="auto"/>
            </w:tcBorders>
            <w:vAlign w:val="bottom"/>
          </w:tcPr>
          <w:p w14:paraId="49F27F8B" w14:textId="77777777" w:rsidR="00786B07" w:rsidRDefault="00786B07" w:rsidP="00180815">
            <w:pPr>
              <w:rPr>
                <w:i/>
                <w:sz w:val="20"/>
                <w:szCs w:val="20"/>
              </w:rPr>
            </w:pPr>
            <w:r>
              <w:rPr>
                <w:i/>
                <w:sz w:val="20"/>
                <w:szCs w:val="20"/>
              </w:rPr>
              <w:fldChar w:fldCharType="begin">
                <w:ffData>
                  <w:name w:val="Text2"/>
                  <w:enabled/>
                  <w:calcOnExit w:val="0"/>
                  <w:textInput/>
                </w:ffData>
              </w:fldChar>
            </w:r>
            <w:bookmarkStart w:id="2" w:name="Text2"/>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
          </w:p>
        </w:tc>
        <w:tc>
          <w:tcPr>
            <w:tcW w:w="1620" w:type="dxa"/>
            <w:vAlign w:val="bottom"/>
          </w:tcPr>
          <w:p w14:paraId="7713CC89" w14:textId="77777777" w:rsidR="00786B07" w:rsidRDefault="00786B07" w:rsidP="00180815">
            <w:pPr>
              <w:rPr>
                <w:sz w:val="20"/>
                <w:szCs w:val="20"/>
              </w:rPr>
            </w:pPr>
            <w:r>
              <w:rPr>
                <w:sz w:val="20"/>
                <w:szCs w:val="20"/>
              </w:rPr>
              <w:t>Department:</w:t>
            </w:r>
          </w:p>
        </w:tc>
        <w:tc>
          <w:tcPr>
            <w:tcW w:w="3780" w:type="dxa"/>
            <w:tcBorders>
              <w:top w:val="single" w:sz="4" w:space="0" w:color="auto"/>
              <w:bottom w:val="single" w:sz="4" w:space="0" w:color="auto"/>
            </w:tcBorders>
            <w:vAlign w:val="bottom"/>
          </w:tcPr>
          <w:p w14:paraId="4D9AAA31" w14:textId="77777777" w:rsidR="00786B07" w:rsidRDefault="00786B07" w:rsidP="00180815">
            <w:pPr>
              <w:rPr>
                <w:i/>
                <w:sz w:val="20"/>
                <w:szCs w:val="20"/>
              </w:rPr>
            </w:pPr>
            <w:r>
              <w:rPr>
                <w:i/>
                <w:sz w:val="20"/>
                <w:szCs w:val="20"/>
              </w:rPr>
              <w:fldChar w:fldCharType="begin">
                <w:ffData>
                  <w:name w:val="Text5"/>
                  <w:enabled/>
                  <w:calcOnExit w:val="0"/>
                  <w:textInput/>
                </w:ffData>
              </w:fldChar>
            </w:r>
            <w:bookmarkStart w:id="3" w:name="Text5"/>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3"/>
          </w:p>
        </w:tc>
      </w:tr>
      <w:tr w:rsidR="00786B07" w14:paraId="7A0B2E31" w14:textId="77777777" w:rsidTr="00180815">
        <w:trPr>
          <w:trHeight w:val="288"/>
        </w:trPr>
        <w:tc>
          <w:tcPr>
            <w:tcW w:w="1548" w:type="dxa"/>
            <w:vAlign w:val="bottom"/>
          </w:tcPr>
          <w:p w14:paraId="63EF350B" w14:textId="77777777" w:rsidR="00786B07" w:rsidRDefault="00786B07" w:rsidP="00180815">
            <w:pPr>
              <w:rPr>
                <w:sz w:val="20"/>
                <w:szCs w:val="20"/>
              </w:rPr>
            </w:pPr>
            <w:r>
              <w:rPr>
                <w:sz w:val="20"/>
                <w:szCs w:val="20"/>
              </w:rPr>
              <w:t>Line #:</w:t>
            </w:r>
          </w:p>
        </w:tc>
        <w:tc>
          <w:tcPr>
            <w:tcW w:w="3780" w:type="dxa"/>
            <w:tcBorders>
              <w:top w:val="single" w:sz="4" w:space="0" w:color="auto"/>
              <w:bottom w:val="single" w:sz="4" w:space="0" w:color="auto"/>
            </w:tcBorders>
            <w:vAlign w:val="bottom"/>
          </w:tcPr>
          <w:p w14:paraId="6AD2CC12" w14:textId="77777777" w:rsidR="00786B07" w:rsidRDefault="00786B07" w:rsidP="00180815">
            <w:pPr>
              <w:rPr>
                <w:i/>
                <w:sz w:val="20"/>
                <w:szCs w:val="20"/>
              </w:rPr>
            </w:pPr>
            <w:r>
              <w:rPr>
                <w:i/>
                <w:sz w:val="20"/>
                <w:szCs w:val="20"/>
              </w:rPr>
              <w:fldChar w:fldCharType="begin">
                <w:ffData>
                  <w:name w:val="Text3"/>
                  <w:enabled/>
                  <w:calcOnExit w:val="0"/>
                  <w:textInput/>
                </w:ffData>
              </w:fldChar>
            </w:r>
            <w:bookmarkStart w:id="4" w:name="Text3"/>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4"/>
          </w:p>
        </w:tc>
        <w:tc>
          <w:tcPr>
            <w:tcW w:w="1620" w:type="dxa"/>
            <w:vAlign w:val="bottom"/>
          </w:tcPr>
          <w:p w14:paraId="33EBD004" w14:textId="77777777" w:rsidR="00786B07" w:rsidRDefault="00786B07" w:rsidP="00180815">
            <w:pPr>
              <w:rPr>
                <w:sz w:val="20"/>
                <w:szCs w:val="20"/>
              </w:rPr>
            </w:pPr>
            <w:r>
              <w:rPr>
                <w:sz w:val="20"/>
                <w:szCs w:val="20"/>
              </w:rPr>
              <w:t>Employee:</w:t>
            </w:r>
          </w:p>
        </w:tc>
        <w:tc>
          <w:tcPr>
            <w:tcW w:w="3780" w:type="dxa"/>
            <w:tcBorders>
              <w:top w:val="single" w:sz="4" w:space="0" w:color="auto"/>
              <w:bottom w:val="single" w:sz="4" w:space="0" w:color="auto"/>
            </w:tcBorders>
            <w:vAlign w:val="bottom"/>
          </w:tcPr>
          <w:p w14:paraId="7897FE7E" w14:textId="77777777" w:rsidR="00786B07" w:rsidRDefault="00786B07" w:rsidP="00180815">
            <w:pPr>
              <w:rPr>
                <w:i/>
                <w:sz w:val="20"/>
                <w:szCs w:val="20"/>
              </w:rPr>
            </w:pPr>
            <w:r>
              <w:rPr>
                <w:i/>
                <w:sz w:val="20"/>
                <w:szCs w:val="20"/>
              </w:rPr>
              <w:fldChar w:fldCharType="begin">
                <w:ffData>
                  <w:name w:val="Text6"/>
                  <w:enabled/>
                  <w:calcOnExit w:val="0"/>
                  <w:textInput/>
                </w:ffData>
              </w:fldChar>
            </w:r>
            <w:bookmarkStart w:id="5" w:name="Text6"/>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5"/>
          </w:p>
        </w:tc>
      </w:tr>
    </w:tbl>
    <w:p w14:paraId="19F808E9" w14:textId="77777777" w:rsidR="00786B07" w:rsidRDefault="00786B07" w:rsidP="00786B07">
      <w:pPr>
        <w:jc w:val="both"/>
        <w:rPr>
          <w:sz w:val="20"/>
          <w:szCs w:val="20"/>
        </w:rPr>
      </w:pPr>
    </w:p>
    <w:p w14:paraId="47CA65B9" w14:textId="77777777" w:rsidR="00DD66F7" w:rsidRPr="00B52028" w:rsidRDefault="00DD66F7" w:rsidP="00DD66F7">
      <w:pPr>
        <w:ind w:left="144" w:right="144"/>
        <w:rPr>
          <w:b/>
          <w:sz w:val="20"/>
          <w:szCs w:val="20"/>
          <w:u w:val="single"/>
        </w:rPr>
      </w:pPr>
      <w:r w:rsidRPr="00B52028">
        <w:rPr>
          <w:b/>
          <w:sz w:val="20"/>
          <w:szCs w:val="20"/>
          <w:u w:val="single"/>
        </w:rPr>
        <w:t>INSTRUCTIONS</w:t>
      </w:r>
    </w:p>
    <w:p w14:paraId="3AAD3FA0" w14:textId="3DF9E5C6" w:rsidR="00DD66F7" w:rsidRDefault="00DD66F7" w:rsidP="00DD66F7">
      <w:pPr>
        <w:ind w:left="144" w:right="144"/>
        <w:rPr>
          <w:sz w:val="20"/>
          <w:szCs w:val="20"/>
        </w:rPr>
      </w:pPr>
      <w:r>
        <w:rPr>
          <w:b/>
        </w:rPr>
        <w:tab/>
      </w:r>
      <w:r w:rsidR="009B59E8">
        <w:rPr>
          <w:sz w:val="20"/>
          <w:szCs w:val="20"/>
        </w:rPr>
        <w:t>Complete this form based on the actual duties of the position as described in an attached position description</w:t>
      </w:r>
      <w:r w:rsidR="00BB20CA">
        <w:rPr>
          <w:sz w:val="20"/>
          <w:szCs w:val="20"/>
        </w:rPr>
        <w:t xml:space="preserve">. Answers must be </w:t>
      </w:r>
      <w:r w:rsidR="00A179E2">
        <w:rPr>
          <w:sz w:val="20"/>
          <w:szCs w:val="20"/>
        </w:rPr>
        <w:t>supported</w:t>
      </w:r>
      <w:r w:rsidR="00BB20CA">
        <w:rPr>
          <w:sz w:val="20"/>
          <w:szCs w:val="20"/>
        </w:rPr>
        <w:t xml:space="preserve"> by duties description.</w:t>
      </w:r>
    </w:p>
    <w:p w14:paraId="236EB9AA" w14:textId="77777777" w:rsidR="00037728" w:rsidRDefault="00037728" w:rsidP="00DD66F7">
      <w:pPr>
        <w:ind w:left="144" w:right="144"/>
        <w:rPr>
          <w:b/>
          <w:sz w:val="20"/>
          <w:szCs w:val="20"/>
          <w:u w:val="single"/>
        </w:rPr>
      </w:pPr>
    </w:p>
    <w:p w14:paraId="69D56EBF" w14:textId="1BAC1A3E" w:rsidR="00786B07" w:rsidRDefault="00335775" w:rsidP="00786B07">
      <w:pPr>
        <w:jc w:val="both"/>
        <w:rPr>
          <w:b/>
          <w:bCs/>
        </w:rPr>
      </w:pPr>
      <w:r>
        <w:rPr>
          <w:b/>
          <w:bCs/>
        </w:rPr>
        <w:t xml:space="preserve">Administrative </w:t>
      </w:r>
      <w:r w:rsidR="00940B4A">
        <w:rPr>
          <w:b/>
          <w:bCs/>
        </w:rPr>
        <w:t>Review</w:t>
      </w:r>
    </w:p>
    <w:tbl>
      <w:tblPr>
        <w:tblW w:w="10587" w:type="dxa"/>
        <w:tblInd w:w="-72" w:type="dxa"/>
        <w:tblLook w:val="01E0" w:firstRow="1" w:lastRow="1" w:firstColumn="1" w:lastColumn="1" w:noHBand="0" w:noVBand="0"/>
      </w:tblPr>
      <w:tblGrid>
        <w:gridCol w:w="358"/>
        <w:gridCol w:w="8844"/>
        <w:gridCol w:w="236"/>
        <w:gridCol w:w="612"/>
        <w:gridCol w:w="537"/>
      </w:tblGrid>
      <w:tr w:rsidR="00786B07" w14:paraId="6F00D5EC" w14:textId="77777777" w:rsidTr="001D04BD">
        <w:trPr>
          <w:trHeight w:val="341"/>
          <w:tblHeader/>
        </w:trPr>
        <w:tc>
          <w:tcPr>
            <w:tcW w:w="9202" w:type="dxa"/>
            <w:gridSpan w:val="2"/>
            <w:tcBorders>
              <w:top w:val="single" w:sz="4" w:space="0" w:color="auto"/>
              <w:left w:val="single" w:sz="4" w:space="0" w:color="auto"/>
              <w:bottom w:val="single" w:sz="4" w:space="0" w:color="auto"/>
            </w:tcBorders>
            <w:vAlign w:val="center"/>
          </w:tcPr>
          <w:p w14:paraId="1ECF48CB" w14:textId="626CD3F5" w:rsidR="00786B07" w:rsidRDefault="00786B07" w:rsidP="00180815">
            <w:pPr>
              <w:rPr>
                <w:color w:val="000000"/>
                <w:sz w:val="20"/>
                <w:szCs w:val="20"/>
              </w:rPr>
            </w:pPr>
          </w:p>
        </w:tc>
        <w:tc>
          <w:tcPr>
            <w:tcW w:w="236" w:type="dxa"/>
            <w:tcBorders>
              <w:top w:val="single" w:sz="4" w:space="0" w:color="auto"/>
              <w:bottom w:val="single" w:sz="4" w:space="0" w:color="auto"/>
              <w:right w:val="single" w:sz="4" w:space="0" w:color="auto"/>
            </w:tcBorders>
          </w:tcPr>
          <w:p w14:paraId="11285264" w14:textId="77777777" w:rsidR="00786B07" w:rsidRDefault="00786B07" w:rsidP="00180815">
            <w:pPr>
              <w:jc w:val="both"/>
              <w:rPr>
                <w:color w:val="000000"/>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14:paraId="52ED741C" w14:textId="77777777" w:rsidR="00786B07" w:rsidRDefault="00786B07" w:rsidP="00180815">
            <w:pPr>
              <w:jc w:val="center"/>
              <w:rPr>
                <w:b/>
                <w:color w:val="000000"/>
                <w:sz w:val="20"/>
                <w:szCs w:val="20"/>
              </w:rPr>
            </w:pPr>
            <w:r>
              <w:rPr>
                <w:b/>
                <w:color w:val="000000"/>
                <w:sz w:val="20"/>
                <w:szCs w:val="20"/>
              </w:rPr>
              <w:t>Yes</w:t>
            </w:r>
          </w:p>
        </w:tc>
        <w:tc>
          <w:tcPr>
            <w:tcW w:w="537" w:type="dxa"/>
            <w:tcBorders>
              <w:top w:val="single" w:sz="4" w:space="0" w:color="auto"/>
              <w:left w:val="single" w:sz="4" w:space="0" w:color="auto"/>
              <w:bottom w:val="single" w:sz="4" w:space="0" w:color="auto"/>
              <w:right w:val="single" w:sz="4" w:space="0" w:color="auto"/>
            </w:tcBorders>
            <w:vAlign w:val="center"/>
          </w:tcPr>
          <w:p w14:paraId="7A8C2F55" w14:textId="77777777" w:rsidR="00786B07" w:rsidRDefault="00786B07" w:rsidP="00180815">
            <w:pPr>
              <w:jc w:val="center"/>
              <w:rPr>
                <w:b/>
                <w:color w:val="000000"/>
                <w:sz w:val="20"/>
                <w:szCs w:val="20"/>
              </w:rPr>
            </w:pPr>
            <w:r>
              <w:rPr>
                <w:b/>
                <w:color w:val="000000"/>
                <w:sz w:val="20"/>
                <w:szCs w:val="20"/>
              </w:rPr>
              <w:t>No</w:t>
            </w:r>
          </w:p>
        </w:tc>
      </w:tr>
      <w:tr w:rsidR="00D62429" w14:paraId="66D26334" w14:textId="77777777" w:rsidTr="001D04BD">
        <w:trPr>
          <w:trHeight w:val="539"/>
        </w:trPr>
        <w:tc>
          <w:tcPr>
            <w:tcW w:w="9202" w:type="dxa"/>
            <w:gridSpan w:val="2"/>
            <w:tcBorders>
              <w:top w:val="single" w:sz="4" w:space="0" w:color="auto"/>
              <w:left w:val="single" w:sz="4" w:space="0" w:color="auto"/>
            </w:tcBorders>
            <w:vAlign w:val="center"/>
          </w:tcPr>
          <w:p w14:paraId="523B109E" w14:textId="35960E9F" w:rsidR="00D62429" w:rsidRDefault="00465722" w:rsidP="00465722">
            <w:pPr>
              <w:numPr>
                <w:ilvl w:val="0"/>
                <w:numId w:val="3"/>
              </w:numPr>
              <w:tabs>
                <w:tab w:val="clear" w:pos="720"/>
                <w:tab w:val="num" w:pos="360"/>
              </w:tabs>
              <w:ind w:left="360"/>
              <w:jc w:val="both"/>
              <w:rPr>
                <w:color w:val="000000"/>
                <w:sz w:val="20"/>
                <w:szCs w:val="20"/>
              </w:rPr>
            </w:pPr>
            <w:r>
              <w:rPr>
                <w:color w:val="000000"/>
                <w:sz w:val="20"/>
                <w:szCs w:val="20"/>
              </w:rPr>
              <w:t>Is t</w:t>
            </w:r>
            <w:r w:rsidR="00D62429">
              <w:rPr>
                <w:color w:val="000000"/>
                <w:sz w:val="20"/>
                <w:szCs w:val="20"/>
              </w:rPr>
              <w:t xml:space="preserve">he employee’s </w:t>
            </w:r>
            <w:r w:rsidR="00D62429">
              <w:rPr>
                <w:b/>
                <w:color w:val="000000"/>
                <w:sz w:val="20"/>
                <w:szCs w:val="20"/>
              </w:rPr>
              <w:t>primary duty</w:t>
            </w:r>
            <w:r w:rsidR="00D62429">
              <w:rPr>
                <w:color w:val="000000"/>
                <w:sz w:val="20"/>
                <w:szCs w:val="20"/>
              </w:rPr>
              <w:t xml:space="preserve"> the performance of office or non-manual work </w:t>
            </w:r>
            <w:r w:rsidR="00D62429">
              <w:rPr>
                <w:b/>
                <w:color w:val="000000"/>
                <w:sz w:val="20"/>
                <w:szCs w:val="20"/>
              </w:rPr>
              <w:t>directly related to the management or general business operations</w:t>
            </w:r>
            <w:r w:rsidR="00D62429">
              <w:rPr>
                <w:color w:val="000000"/>
                <w:sz w:val="20"/>
                <w:szCs w:val="20"/>
              </w:rPr>
              <w:t xml:space="preserve"> of the employer or the </w:t>
            </w:r>
            <w:r w:rsidR="00D62429">
              <w:rPr>
                <w:b/>
                <w:color w:val="000000"/>
                <w:sz w:val="20"/>
                <w:szCs w:val="20"/>
              </w:rPr>
              <w:t>employer’s customers</w:t>
            </w:r>
            <w:r w:rsidR="00D62429">
              <w:rPr>
                <w:color w:val="000000"/>
                <w:sz w:val="20"/>
                <w:szCs w:val="20"/>
              </w:rPr>
              <w:t>;</w:t>
            </w:r>
          </w:p>
        </w:tc>
        <w:tc>
          <w:tcPr>
            <w:tcW w:w="236" w:type="dxa"/>
            <w:tcBorders>
              <w:top w:val="single" w:sz="4" w:space="0" w:color="auto"/>
              <w:right w:val="single" w:sz="4" w:space="0" w:color="auto"/>
            </w:tcBorders>
          </w:tcPr>
          <w:p w14:paraId="3EF96D31" w14:textId="77777777" w:rsidR="00D62429" w:rsidRDefault="00D62429" w:rsidP="00180815">
            <w:pPr>
              <w:jc w:val="both"/>
              <w:rPr>
                <w:color w:val="000000"/>
                <w:sz w:val="20"/>
                <w:szCs w:val="20"/>
              </w:rPr>
            </w:pPr>
          </w:p>
        </w:tc>
        <w:tc>
          <w:tcPr>
            <w:tcW w:w="612" w:type="dxa"/>
            <w:tcBorders>
              <w:top w:val="single" w:sz="4" w:space="0" w:color="auto"/>
              <w:left w:val="single" w:sz="4" w:space="0" w:color="auto"/>
              <w:right w:val="single" w:sz="4" w:space="0" w:color="auto"/>
            </w:tcBorders>
            <w:vAlign w:val="center"/>
          </w:tcPr>
          <w:p w14:paraId="01DECAF2" w14:textId="3037B299" w:rsidR="00D62429" w:rsidRDefault="00D62429" w:rsidP="00180815">
            <w:pPr>
              <w:jc w:val="center"/>
              <w:rPr>
                <w:color w:val="000000"/>
                <w:sz w:val="20"/>
                <w:szCs w:val="20"/>
              </w:rPr>
            </w:pPr>
            <w:r>
              <w:rPr>
                <w:color w:val="000000"/>
                <w:sz w:val="20"/>
                <w:szCs w:val="20"/>
              </w:rPr>
              <w:t xml:space="preserve"> </w:t>
            </w: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sidR="00581775">
              <w:rPr>
                <w:color w:val="000000"/>
                <w:sz w:val="20"/>
                <w:szCs w:val="20"/>
              </w:rPr>
            </w:r>
            <w:r w:rsidR="00581775">
              <w:rPr>
                <w:color w:val="000000"/>
                <w:sz w:val="20"/>
                <w:szCs w:val="20"/>
              </w:rPr>
              <w:fldChar w:fldCharType="separate"/>
            </w:r>
            <w:r>
              <w:rPr>
                <w:color w:val="000000"/>
                <w:sz w:val="20"/>
                <w:szCs w:val="20"/>
              </w:rPr>
              <w:fldChar w:fldCharType="end"/>
            </w:r>
          </w:p>
        </w:tc>
        <w:tc>
          <w:tcPr>
            <w:tcW w:w="537" w:type="dxa"/>
            <w:tcBorders>
              <w:top w:val="single" w:sz="4" w:space="0" w:color="auto"/>
              <w:left w:val="single" w:sz="4" w:space="0" w:color="auto"/>
              <w:right w:val="single" w:sz="4" w:space="0" w:color="auto"/>
            </w:tcBorders>
            <w:vAlign w:val="center"/>
          </w:tcPr>
          <w:p w14:paraId="5B1C46BB" w14:textId="5CC0D254" w:rsidR="00D62429" w:rsidRDefault="00D62429" w:rsidP="00180815">
            <w:pPr>
              <w:jc w:val="center"/>
              <w:rPr>
                <w:color w:val="000000"/>
                <w:sz w:val="20"/>
                <w:szCs w:val="20"/>
              </w:rPr>
            </w:pP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581775">
              <w:rPr>
                <w:color w:val="000000"/>
                <w:sz w:val="20"/>
                <w:szCs w:val="20"/>
              </w:rPr>
            </w:r>
            <w:r w:rsidR="00581775">
              <w:rPr>
                <w:color w:val="000000"/>
                <w:sz w:val="20"/>
                <w:szCs w:val="20"/>
              </w:rPr>
              <w:fldChar w:fldCharType="separate"/>
            </w:r>
            <w:r>
              <w:rPr>
                <w:color w:val="000000"/>
                <w:sz w:val="20"/>
                <w:szCs w:val="20"/>
              </w:rPr>
              <w:fldChar w:fldCharType="end"/>
            </w:r>
          </w:p>
        </w:tc>
      </w:tr>
      <w:tr w:rsidR="00786B07" w14:paraId="5344FF17" w14:textId="77777777" w:rsidTr="001D04BD">
        <w:trPr>
          <w:trHeight w:val="898"/>
        </w:trPr>
        <w:tc>
          <w:tcPr>
            <w:tcW w:w="358" w:type="dxa"/>
            <w:tcBorders>
              <w:left w:val="single" w:sz="4" w:space="0" w:color="auto"/>
            </w:tcBorders>
            <w:vAlign w:val="center"/>
          </w:tcPr>
          <w:p w14:paraId="3034A89E" w14:textId="77777777" w:rsidR="00786B07" w:rsidRDefault="00786B07" w:rsidP="00180815">
            <w:pPr>
              <w:jc w:val="both"/>
              <w:rPr>
                <w:color w:val="000000"/>
                <w:sz w:val="20"/>
                <w:szCs w:val="20"/>
              </w:rPr>
            </w:pPr>
          </w:p>
        </w:tc>
        <w:tc>
          <w:tcPr>
            <w:tcW w:w="8844" w:type="dxa"/>
            <w:vAlign w:val="center"/>
          </w:tcPr>
          <w:p w14:paraId="6F35905C" w14:textId="77777777" w:rsidR="00786B07" w:rsidRDefault="00786B07" w:rsidP="00786B07">
            <w:pPr>
              <w:numPr>
                <w:ilvl w:val="0"/>
                <w:numId w:val="4"/>
              </w:numPr>
              <w:tabs>
                <w:tab w:val="clear" w:pos="720"/>
                <w:tab w:val="num" w:pos="432"/>
              </w:tabs>
              <w:ind w:left="432"/>
              <w:jc w:val="both"/>
              <w:rPr>
                <w:color w:val="000000"/>
                <w:sz w:val="20"/>
                <w:szCs w:val="20"/>
              </w:rPr>
            </w:pPr>
            <w:r>
              <w:rPr>
                <w:color w:val="000000"/>
                <w:sz w:val="20"/>
                <w:szCs w:val="20"/>
              </w:rPr>
              <w:t>“</w:t>
            </w:r>
            <w:r>
              <w:rPr>
                <w:b/>
                <w:color w:val="000000"/>
                <w:sz w:val="20"/>
                <w:szCs w:val="20"/>
              </w:rPr>
              <w:t>Primary duty</w:t>
            </w:r>
            <w:r>
              <w:rPr>
                <w:color w:val="000000"/>
                <w:sz w:val="20"/>
                <w:szCs w:val="20"/>
              </w:rPr>
              <w:t>” means the principal, main, major or most important duty that the employee performs.  Determination of an employee’s primary duty must be based on all the facts in a particular case, with the major emphasis on the character of the employee’s job as a whole.</w:t>
            </w:r>
          </w:p>
          <w:p w14:paraId="0F97738C" w14:textId="77777777" w:rsidR="00737678" w:rsidRDefault="00737678" w:rsidP="00737678">
            <w:pPr>
              <w:ind w:left="432"/>
              <w:jc w:val="both"/>
              <w:rPr>
                <w:color w:val="000000"/>
                <w:sz w:val="20"/>
                <w:szCs w:val="20"/>
              </w:rPr>
            </w:pPr>
          </w:p>
          <w:p w14:paraId="1BDF5AD8" w14:textId="77777777" w:rsidR="001B1ECB" w:rsidRDefault="00607A00" w:rsidP="00607A00">
            <w:pPr>
              <w:pStyle w:val="ListParagraph"/>
              <w:numPr>
                <w:ilvl w:val="0"/>
                <w:numId w:val="10"/>
              </w:numPr>
              <w:rPr>
                <w:sz w:val="20"/>
                <w:szCs w:val="20"/>
              </w:rPr>
            </w:pPr>
            <w:r w:rsidRPr="00607A00">
              <w:rPr>
                <w:sz w:val="20"/>
                <w:szCs w:val="20"/>
              </w:rPr>
              <w:t xml:space="preserve">It is a good “rule of thumb” for the primary duty to take about 50% of the worker’s time.  However, time alone is not the only consideration.  Other factors to consider include:  </w:t>
            </w:r>
          </w:p>
          <w:p w14:paraId="1D4F99C3" w14:textId="77777777" w:rsidR="001B1ECB" w:rsidRDefault="00607A00" w:rsidP="001B1ECB">
            <w:pPr>
              <w:pStyle w:val="ListParagraph"/>
              <w:numPr>
                <w:ilvl w:val="1"/>
                <w:numId w:val="10"/>
              </w:numPr>
              <w:rPr>
                <w:sz w:val="20"/>
                <w:szCs w:val="20"/>
              </w:rPr>
            </w:pPr>
            <w:r w:rsidRPr="00607A00">
              <w:rPr>
                <w:sz w:val="20"/>
                <w:szCs w:val="20"/>
              </w:rPr>
              <w:t xml:space="preserve">the relative importance of the exempt duties compared to the nonexempt duties; </w:t>
            </w:r>
          </w:p>
          <w:p w14:paraId="253F3F04" w14:textId="77777777" w:rsidR="001B1ECB" w:rsidRDefault="00607A00" w:rsidP="001B1ECB">
            <w:pPr>
              <w:pStyle w:val="ListParagraph"/>
              <w:numPr>
                <w:ilvl w:val="1"/>
                <w:numId w:val="10"/>
              </w:numPr>
              <w:rPr>
                <w:sz w:val="20"/>
                <w:szCs w:val="20"/>
              </w:rPr>
            </w:pPr>
            <w:r w:rsidRPr="00607A00">
              <w:rPr>
                <w:sz w:val="20"/>
                <w:szCs w:val="20"/>
              </w:rPr>
              <w:t xml:space="preserve">the amount of time spent performing exempt duties; </w:t>
            </w:r>
          </w:p>
          <w:p w14:paraId="5CABCA46" w14:textId="77777777" w:rsidR="001B1ECB" w:rsidRDefault="00607A00" w:rsidP="001B1ECB">
            <w:pPr>
              <w:pStyle w:val="ListParagraph"/>
              <w:numPr>
                <w:ilvl w:val="1"/>
                <w:numId w:val="10"/>
              </w:numPr>
              <w:rPr>
                <w:sz w:val="20"/>
                <w:szCs w:val="20"/>
              </w:rPr>
            </w:pPr>
            <w:r w:rsidRPr="00607A00">
              <w:rPr>
                <w:sz w:val="20"/>
                <w:szCs w:val="20"/>
              </w:rPr>
              <w:t xml:space="preserve">the worker’s freedom from direct supervision; </w:t>
            </w:r>
          </w:p>
          <w:p w14:paraId="15C4F62B" w14:textId="77777777" w:rsidR="001B1ECB" w:rsidRDefault="00607A00" w:rsidP="001B1ECB">
            <w:pPr>
              <w:pStyle w:val="ListParagraph"/>
              <w:numPr>
                <w:ilvl w:val="1"/>
                <w:numId w:val="10"/>
              </w:numPr>
              <w:rPr>
                <w:sz w:val="20"/>
                <w:szCs w:val="20"/>
              </w:rPr>
            </w:pPr>
            <w:r w:rsidRPr="00607A00">
              <w:rPr>
                <w:sz w:val="20"/>
                <w:szCs w:val="20"/>
              </w:rPr>
              <w:t>the relationship between the worker’s salary and</w:t>
            </w:r>
            <w:r w:rsidR="001B1ECB">
              <w:rPr>
                <w:sz w:val="20"/>
                <w:szCs w:val="20"/>
              </w:rPr>
              <w:t>;</w:t>
            </w:r>
          </w:p>
          <w:p w14:paraId="74F006E4" w14:textId="402498AD" w:rsidR="00607A00" w:rsidRPr="00607A00" w:rsidRDefault="00607A00" w:rsidP="001B1ECB">
            <w:pPr>
              <w:pStyle w:val="ListParagraph"/>
              <w:numPr>
                <w:ilvl w:val="1"/>
                <w:numId w:val="10"/>
              </w:numPr>
              <w:rPr>
                <w:sz w:val="20"/>
                <w:szCs w:val="20"/>
              </w:rPr>
            </w:pPr>
            <w:r w:rsidRPr="00607A00">
              <w:rPr>
                <w:sz w:val="20"/>
                <w:szCs w:val="20"/>
              </w:rPr>
              <w:t xml:space="preserve"> </w:t>
            </w:r>
            <w:proofErr w:type="gramStart"/>
            <w:r w:rsidRPr="00607A00">
              <w:rPr>
                <w:sz w:val="20"/>
                <w:szCs w:val="20"/>
              </w:rPr>
              <w:t>wage</w:t>
            </w:r>
            <w:proofErr w:type="gramEnd"/>
            <w:r w:rsidRPr="00607A00">
              <w:rPr>
                <w:sz w:val="20"/>
                <w:szCs w:val="20"/>
              </w:rPr>
              <w:t xml:space="preserve"> paid to other employees for the same kind of exempt work.</w:t>
            </w:r>
          </w:p>
          <w:p w14:paraId="37454134" w14:textId="77777777" w:rsidR="00607A00" w:rsidRPr="00607A00" w:rsidRDefault="00607A00" w:rsidP="00607A00">
            <w:pPr>
              <w:jc w:val="both"/>
              <w:rPr>
                <w:color w:val="000000"/>
                <w:sz w:val="20"/>
                <w:szCs w:val="20"/>
              </w:rPr>
            </w:pPr>
          </w:p>
        </w:tc>
        <w:tc>
          <w:tcPr>
            <w:tcW w:w="236" w:type="dxa"/>
            <w:tcBorders>
              <w:right w:val="single" w:sz="4" w:space="0" w:color="auto"/>
            </w:tcBorders>
          </w:tcPr>
          <w:p w14:paraId="76E342C7" w14:textId="77777777" w:rsidR="00786B07" w:rsidRDefault="00786B07" w:rsidP="00180815">
            <w:pPr>
              <w:tabs>
                <w:tab w:val="num" w:pos="252"/>
              </w:tabs>
              <w:ind w:left="252" w:hanging="252"/>
              <w:jc w:val="both"/>
              <w:rPr>
                <w:color w:val="000000"/>
                <w:sz w:val="20"/>
                <w:szCs w:val="20"/>
              </w:rPr>
            </w:pPr>
          </w:p>
        </w:tc>
        <w:tc>
          <w:tcPr>
            <w:tcW w:w="612" w:type="dxa"/>
            <w:tcBorders>
              <w:left w:val="single" w:sz="4" w:space="0" w:color="auto"/>
              <w:right w:val="single" w:sz="4" w:space="0" w:color="auto"/>
            </w:tcBorders>
            <w:vAlign w:val="center"/>
          </w:tcPr>
          <w:p w14:paraId="0785B2CC" w14:textId="040C391F" w:rsidR="00786B07" w:rsidRDefault="00786B07" w:rsidP="00180815">
            <w:pPr>
              <w:jc w:val="center"/>
              <w:rPr>
                <w:color w:val="000000"/>
                <w:sz w:val="20"/>
                <w:szCs w:val="20"/>
              </w:rPr>
            </w:pPr>
          </w:p>
        </w:tc>
        <w:tc>
          <w:tcPr>
            <w:tcW w:w="537" w:type="dxa"/>
            <w:tcBorders>
              <w:left w:val="single" w:sz="4" w:space="0" w:color="auto"/>
              <w:right w:val="single" w:sz="4" w:space="0" w:color="auto"/>
            </w:tcBorders>
            <w:vAlign w:val="center"/>
          </w:tcPr>
          <w:p w14:paraId="2F29022B" w14:textId="63F808F1" w:rsidR="00786B07" w:rsidRDefault="00786B07" w:rsidP="00180815">
            <w:pPr>
              <w:jc w:val="center"/>
              <w:rPr>
                <w:color w:val="000000"/>
                <w:sz w:val="20"/>
                <w:szCs w:val="20"/>
              </w:rPr>
            </w:pPr>
          </w:p>
        </w:tc>
      </w:tr>
      <w:tr w:rsidR="00786B07" w14:paraId="50B10D88" w14:textId="77777777" w:rsidTr="001D04BD">
        <w:trPr>
          <w:trHeight w:val="2156"/>
        </w:trPr>
        <w:tc>
          <w:tcPr>
            <w:tcW w:w="358" w:type="dxa"/>
            <w:tcBorders>
              <w:left w:val="single" w:sz="4" w:space="0" w:color="auto"/>
            </w:tcBorders>
            <w:vAlign w:val="center"/>
          </w:tcPr>
          <w:p w14:paraId="18FAFC89" w14:textId="77777777" w:rsidR="00786B07" w:rsidRDefault="00786B07" w:rsidP="00180815">
            <w:pPr>
              <w:pStyle w:val="NormalWeb"/>
              <w:spacing w:before="0" w:beforeAutospacing="0" w:after="0" w:afterAutospacing="0"/>
              <w:jc w:val="both"/>
              <w:rPr>
                <w:rFonts w:ascii="Times New Roman" w:hAnsi="Times New Roman"/>
                <w:color w:val="000000"/>
                <w:sz w:val="20"/>
                <w:szCs w:val="20"/>
              </w:rPr>
            </w:pPr>
          </w:p>
        </w:tc>
        <w:tc>
          <w:tcPr>
            <w:tcW w:w="8844" w:type="dxa"/>
            <w:vAlign w:val="center"/>
          </w:tcPr>
          <w:p w14:paraId="6FB6CBD0" w14:textId="17212104" w:rsidR="00786B07" w:rsidRDefault="00786B07" w:rsidP="00786B07">
            <w:pPr>
              <w:numPr>
                <w:ilvl w:val="0"/>
                <w:numId w:val="4"/>
              </w:numPr>
              <w:tabs>
                <w:tab w:val="clear" w:pos="720"/>
                <w:tab w:val="num" w:pos="432"/>
              </w:tabs>
              <w:ind w:left="432"/>
              <w:jc w:val="both"/>
              <w:rPr>
                <w:color w:val="000000"/>
                <w:sz w:val="20"/>
                <w:szCs w:val="20"/>
              </w:rPr>
            </w:pPr>
            <w:r>
              <w:rPr>
                <w:color w:val="000000"/>
                <w:sz w:val="20"/>
                <w:szCs w:val="20"/>
              </w:rPr>
              <w:t>To meet the “</w:t>
            </w:r>
            <w:r>
              <w:rPr>
                <w:b/>
                <w:color w:val="000000"/>
                <w:sz w:val="20"/>
                <w:szCs w:val="20"/>
              </w:rPr>
              <w:t>directly related to management or general business operations</w:t>
            </w:r>
            <w:r>
              <w:rPr>
                <w:color w:val="000000"/>
                <w:sz w:val="20"/>
                <w:szCs w:val="20"/>
              </w:rPr>
              <w:t>” requirement, an employee must perform work directly related to assisting with the running or servicing of the business, as distinguished, for example from working on a manufacturing production line or selling a product in a retail or service establishment</w:t>
            </w:r>
            <w:r w:rsidR="00F927BB">
              <w:rPr>
                <w:color w:val="000000"/>
                <w:sz w:val="20"/>
                <w:szCs w:val="20"/>
              </w:rPr>
              <w:t xml:space="preserve"> or the delivery of services</w:t>
            </w:r>
            <w:r>
              <w:rPr>
                <w:color w:val="000000"/>
                <w:sz w:val="20"/>
                <w:szCs w:val="20"/>
              </w:rPr>
              <w:t>.  Work “directly related to management or general business operations” includes, but is not limited to, work in functional areas such as tax; finance; accounting; budgeting; auditing; insurance; quality control; purchasing; procurement; advertising; marketing; research; safety and health; personnel management; human resources; employee benefits; labor relations; public relations; government relations; computer network, Internet and database administration; legal and regulatory compliance; and similar activities.</w:t>
            </w:r>
          </w:p>
        </w:tc>
        <w:tc>
          <w:tcPr>
            <w:tcW w:w="236" w:type="dxa"/>
            <w:tcBorders>
              <w:right w:val="single" w:sz="4" w:space="0" w:color="auto"/>
            </w:tcBorders>
          </w:tcPr>
          <w:p w14:paraId="52B5E5AB" w14:textId="77777777" w:rsidR="00786B07" w:rsidRDefault="00786B07" w:rsidP="00180815">
            <w:pPr>
              <w:tabs>
                <w:tab w:val="num" w:pos="252"/>
              </w:tabs>
              <w:ind w:left="252" w:hanging="252"/>
              <w:jc w:val="both"/>
              <w:rPr>
                <w:color w:val="000000"/>
                <w:sz w:val="20"/>
                <w:szCs w:val="20"/>
              </w:rPr>
            </w:pPr>
          </w:p>
        </w:tc>
        <w:tc>
          <w:tcPr>
            <w:tcW w:w="612" w:type="dxa"/>
            <w:tcBorders>
              <w:left w:val="single" w:sz="4" w:space="0" w:color="auto"/>
              <w:right w:val="single" w:sz="4" w:space="0" w:color="auto"/>
            </w:tcBorders>
            <w:vAlign w:val="center"/>
          </w:tcPr>
          <w:p w14:paraId="2738BBBF" w14:textId="6C51BE79" w:rsidR="00786B07" w:rsidRDefault="00786B07" w:rsidP="00F927BB">
            <w:pPr>
              <w:rPr>
                <w:color w:val="000000"/>
                <w:sz w:val="20"/>
                <w:szCs w:val="20"/>
              </w:rPr>
            </w:pPr>
          </w:p>
        </w:tc>
        <w:tc>
          <w:tcPr>
            <w:tcW w:w="537" w:type="dxa"/>
            <w:tcBorders>
              <w:left w:val="single" w:sz="4" w:space="0" w:color="auto"/>
              <w:right w:val="single" w:sz="4" w:space="0" w:color="auto"/>
            </w:tcBorders>
            <w:vAlign w:val="center"/>
          </w:tcPr>
          <w:p w14:paraId="46875412" w14:textId="30BC81AE" w:rsidR="00786B07" w:rsidRDefault="00786B07" w:rsidP="00180815">
            <w:pPr>
              <w:jc w:val="center"/>
              <w:rPr>
                <w:color w:val="000000"/>
                <w:sz w:val="20"/>
                <w:szCs w:val="20"/>
              </w:rPr>
            </w:pPr>
          </w:p>
        </w:tc>
      </w:tr>
      <w:tr w:rsidR="00786B07" w14:paraId="6626CD42" w14:textId="77777777" w:rsidTr="001D04BD">
        <w:trPr>
          <w:trHeight w:val="153"/>
        </w:trPr>
        <w:tc>
          <w:tcPr>
            <w:tcW w:w="358" w:type="dxa"/>
            <w:tcBorders>
              <w:left w:val="single" w:sz="4" w:space="0" w:color="auto"/>
              <w:bottom w:val="single" w:sz="4" w:space="0" w:color="auto"/>
            </w:tcBorders>
            <w:vAlign w:val="center"/>
          </w:tcPr>
          <w:p w14:paraId="4D0D6DCA" w14:textId="77777777" w:rsidR="0036272B" w:rsidRDefault="0036272B" w:rsidP="00180815">
            <w:pPr>
              <w:jc w:val="both"/>
              <w:rPr>
                <w:color w:val="000000"/>
                <w:sz w:val="20"/>
                <w:szCs w:val="20"/>
              </w:rPr>
            </w:pPr>
          </w:p>
        </w:tc>
        <w:tc>
          <w:tcPr>
            <w:tcW w:w="8844" w:type="dxa"/>
            <w:tcBorders>
              <w:bottom w:val="single" w:sz="4" w:space="0" w:color="auto"/>
            </w:tcBorders>
            <w:vAlign w:val="center"/>
          </w:tcPr>
          <w:p w14:paraId="1739BCDF" w14:textId="7439C5AF" w:rsidR="00786B07" w:rsidRDefault="00786B07" w:rsidP="00F927BB">
            <w:pPr>
              <w:jc w:val="both"/>
              <w:rPr>
                <w:color w:val="000000"/>
                <w:sz w:val="20"/>
                <w:szCs w:val="20"/>
              </w:rPr>
            </w:pPr>
          </w:p>
        </w:tc>
        <w:tc>
          <w:tcPr>
            <w:tcW w:w="236" w:type="dxa"/>
            <w:tcBorders>
              <w:bottom w:val="single" w:sz="4" w:space="0" w:color="auto"/>
              <w:right w:val="single" w:sz="4" w:space="0" w:color="auto"/>
            </w:tcBorders>
          </w:tcPr>
          <w:p w14:paraId="1D0F6C5D" w14:textId="77777777" w:rsidR="00786B07" w:rsidRDefault="00786B07" w:rsidP="00180815">
            <w:pPr>
              <w:tabs>
                <w:tab w:val="num" w:pos="252"/>
              </w:tabs>
              <w:ind w:left="252" w:hanging="252"/>
              <w:jc w:val="both"/>
              <w:rPr>
                <w:color w:val="000000"/>
                <w:sz w:val="20"/>
                <w:szCs w:val="20"/>
              </w:rPr>
            </w:pPr>
          </w:p>
        </w:tc>
        <w:tc>
          <w:tcPr>
            <w:tcW w:w="612" w:type="dxa"/>
            <w:tcBorders>
              <w:left w:val="single" w:sz="4" w:space="0" w:color="auto"/>
              <w:bottom w:val="single" w:sz="4" w:space="0" w:color="auto"/>
              <w:right w:val="single" w:sz="4" w:space="0" w:color="auto"/>
            </w:tcBorders>
            <w:vAlign w:val="center"/>
          </w:tcPr>
          <w:p w14:paraId="73BCEBD9" w14:textId="6761CFB8" w:rsidR="00786B07" w:rsidRDefault="00786B07" w:rsidP="00180815">
            <w:pPr>
              <w:jc w:val="center"/>
              <w:rPr>
                <w:color w:val="000000"/>
                <w:sz w:val="20"/>
                <w:szCs w:val="20"/>
              </w:rPr>
            </w:pPr>
          </w:p>
        </w:tc>
        <w:tc>
          <w:tcPr>
            <w:tcW w:w="537" w:type="dxa"/>
            <w:tcBorders>
              <w:left w:val="single" w:sz="4" w:space="0" w:color="auto"/>
              <w:bottom w:val="single" w:sz="4" w:space="0" w:color="auto"/>
              <w:right w:val="single" w:sz="4" w:space="0" w:color="auto"/>
            </w:tcBorders>
            <w:vAlign w:val="center"/>
          </w:tcPr>
          <w:p w14:paraId="31B0C949" w14:textId="2E6ABD81" w:rsidR="00786B07" w:rsidRDefault="00786B07" w:rsidP="00180815">
            <w:pPr>
              <w:jc w:val="center"/>
              <w:rPr>
                <w:color w:val="000000"/>
                <w:sz w:val="20"/>
                <w:szCs w:val="20"/>
              </w:rPr>
            </w:pPr>
          </w:p>
        </w:tc>
      </w:tr>
      <w:tr w:rsidR="00D62429" w14:paraId="3F3095B0" w14:textId="77777777" w:rsidTr="00302F17">
        <w:trPr>
          <w:trHeight w:val="548"/>
        </w:trPr>
        <w:tc>
          <w:tcPr>
            <w:tcW w:w="9202" w:type="dxa"/>
            <w:gridSpan w:val="2"/>
            <w:tcBorders>
              <w:top w:val="single" w:sz="4" w:space="0" w:color="auto"/>
              <w:left w:val="single" w:sz="4" w:space="0" w:color="auto"/>
            </w:tcBorders>
            <w:vAlign w:val="center"/>
          </w:tcPr>
          <w:p w14:paraId="799D51B6" w14:textId="0413F3F3" w:rsidR="00D62429" w:rsidRDefault="00465722" w:rsidP="00465722">
            <w:pPr>
              <w:numPr>
                <w:ilvl w:val="0"/>
                <w:numId w:val="5"/>
              </w:numPr>
              <w:tabs>
                <w:tab w:val="clear" w:pos="720"/>
                <w:tab w:val="num" w:pos="360"/>
              </w:tabs>
              <w:ind w:left="360"/>
              <w:jc w:val="both"/>
              <w:rPr>
                <w:color w:val="000000"/>
                <w:sz w:val="20"/>
                <w:szCs w:val="20"/>
              </w:rPr>
            </w:pPr>
            <w:r>
              <w:rPr>
                <w:color w:val="000000"/>
                <w:sz w:val="20"/>
                <w:szCs w:val="20"/>
              </w:rPr>
              <w:t>Does th</w:t>
            </w:r>
            <w:r w:rsidR="00D62429">
              <w:rPr>
                <w:color w:val="000000"/>
                <w:sz w:val="20"/>
                <w:szCs w:val="20"/>
              </w:rPr>
              <w:t xml:space="preserve">e employee’s primary duty include the </w:t>
            </w:r>
            <w:r w:rsidR="00D62429">
              <w:rPr>
                <w:b/>
                <w:color w:val="000000"/>
                <w:sz w:val="20"/>
                <w:szCs w:val="20"/>
              </w:rPr>
              <w:t>exercise of</w:t>
            </w:r>
            <w:r w:rsidR="00D62429">
              <w:rPr>
                <w:color w:val="000000"/>
                <w:sz w:val="20"/>
                <w:szCs w:val="20"/>
              </w:rPr>
              <w:t xml:space="preserve"> </w:t>
            </w:r>
            <w:r w:rsidR="00D62429">
              <w:rPr>
                <w:b/>
                <w:color w:val="000000"/>
                <w:sz w:val="20"/>
                <w:szCs w:val="20"/>
              </w:rPr>
              <w:t>discretion and independent judgment</w:t>
            </w:r>
            <w:r w:rsidR="00D62429">
              <w:rPr>
                <w:color w:val="000000"/>
                <w:sz w:val="20"/>
                <w:szCs w:val="20"/>
              </w:rPr>
              <w:t xml:space="preserve"> with respect to </w:t>
            </w:r>
            <w:r w:rsidR="00D62429">
              <w:rPr>
                <w:b/>
                <w:color w:val="000000"/>
                <w:sz w:val="20"/>
                <w:szCs w:val="20"/>
              </w:rPr>
              <w:t xml:space="preserve">matters of </w:t>
            </w:r>
            <w:proofErr w:type="gramStart"/>
            <w:r w:rsidR="00D62429">
              <w:rPr>
                <w:b/>
                <w:color w:val="000000"/>
                <w:sz w:val="20"/>
                <w:szCs w:val="20"/>
              </w:rPr>
              <w:t>significance</w:t>
            </w:r>
            <w:r w:rsidR="00D62429">
              <w:rPr>
                <w:color w:val="000000"/>
                <w:sz w:val="20"/>
                <w:szCs w:val="20"/>
              </w:rPr>
              <w:t>.</w:t>
            </w:r>
            <w:proofErr w:type="gramEnd"/>
          </w:p>
        </w:tc>
        <w:tc>
          <w:tcPr>
            <w:tcW w:w="236" w:type="dxa"/>
            <w:tcBorders>
              <w:top w:val="single" w:sz="4" w:space="0" w:color="auto"/>
              <w:right w:val="single" w:sz="4" w:space="0" w:color="auto"/>
            </w:tcBorders>
          </w:tcPr>
          <w:p w14:paraId="2354B32C" w14:textId="77777777" w:rsidR="00D62429" w:rsidRDefault="00D62429" w:rsidP="00180815">
            <w:pPr>
              <w:tabs>
                <w:tab w:val="num" w:pos="252"/>
              </w:tabs>
              <w:ind w:left="252" w:hanging="252"/>
              <w:jc w:val="both"/>
              <w:rPr>
                <w:color w:val="000000"/>
                <w:sz w:val="20"/>
                <w:szCs w:val="20"/>
              </w:rPr>
            </w:pPr>
          </w:p>
        </w:tc>
        <w:tc>
          <w:tcPr>
            <w:tcW w:w="612" w:type="dxa"/>
            <w:tcBorders>
              <w:top w:val="single" w:sz="4" w:space="0" w:color="auto"/>
              <w:left w:val="single" w:sz="4" w:space="0" w:color="auto"/>
              <w:right w:val="single" w:sz="4" w:space="0" w:color="auto"/>
            </w:tcBorders>
            <w:vAlign w:val="center"/>
          </w:tcPr>
          <w:p w14:paraId="036A62CC" w14:textId="0F673FF2" w:rsidR="00D62429" w:rsidRDefault="00D62429" w:rsidP="00180815">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sidR="00581775">
              <w:rPr>
                <w:color w:val="000000"/>
                <w:sz w:val="20"/>
                <w:szCs w:val="20"/>
              </w:rPr>
            </w:r>
            <w:r w:rsidR="00581775">
              <w:rPr>
                <w:color w:val="000000"/>
                <w:sz w:val="20"/>
                <w:szCs w:val="20"/>
              </w:rPr>
              <w:fldChar w:fldCharType="separate"/>
            </w:r>
            <w:r>
              <w:rPr>
                <w:color w:val="000000"/>
                <w:sz w:val="20"/>
                <w:szCs w:val="20"/>
              </w:rPr>
              <w:fldChar w:fldCharType="end"/>
            </w:r>
          </w:p>
        </w:tc>
        <w:tc>
          <w:tcPr>
            <w:tcW w:w="537" w:type="dxa"/>
            <w:tcBorders>
              <w:top w:val="single" w:sz="4" w:space="0" w:color="auto"/>
              <w:left w:val="single" w:sz="4" w:space="0" w:color="auto"/>
              <w:right w:val="single" w:sz="4" w:space="0" w:color="auto"/>
            </w:tcBorders>
            <w:vAlign w:val="center"/>
          </w:tcPr>
          <w:p w14:paraId="235CEE59" w14:textId="3E287D51" w:rsidR="00D62429" w:rsidRDefault="00D62429" w:rsidP="00180815">
            <w:pPr>
              <w:jc w:val="center"/>
              <w:rPr>
                <w:color w:val="000000"/>
                <w:sz w:val="20"/>
                <w:szCs w:val="20"/>
              </w:rPr>
            </w:pP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581775">
              <w:rPr>
                <w:color w:val="000000"/>
                <w:sz w:val="20"/>
                <w:szCs w:val="20"/>
              </w:rPr>
            </w:r>
            <w:r w:rsidR="00581775">
              <w:rPr>
                <w:color w:val="000000"/>
                <w:sz w:val="20"/>
                <w:szCs w:val="20"/>
              </w:rPr>
              <w:fldChar w:fldCharType="separate"/>
            </w:r>
            <w:r>
              <w:rPr>
                <w:color w:val="000000"/>
                <w:sz w:val="20"/>
                <w:szCs w:val="20"/>
              </w:rPr>
              <w:fldChar w:fldCharType="end"/>
            </w:r>
          </w:p>
        </w:tc>
      </w:tr>
      <w:tr w:rsidR="001D04BD" w14:paraId="543AE48C" w14:textId="77777777" w:rsidTr="00854F70">
        <w:trPr>
          <w:trHeight w:val="3015"/>
        </w:trPr>
        <w:tc>
          <w:tcPr>
            <w:tcW w:w="358" w:type="dxa"/>
            <w:tcBorders>
              <w:left w:val="single" w:sz="4" w:space="0" w:color="auto"/>
            </w:tcBorders>
            <w:vAlign w:val="center"/>
          </w:tcPr>
          <w:p w14:paraId="45EB541C" w14:textId="77777777" w:rsidR="001D04BD" w:rsidRPr="004B693B" w:rsidRDefault="001D04BD" w:rsidP="00180815">
            <w:pPr>
              <w:jc w:val="both"/>
              <w:rPr>
                <w:b/>
                <w:color w:val="000000"/>
                <w:sz w:val="20"/>
                <w:szCs w:val="20"/>
              </w:rPr>
            </w:pPr>
          </w:p>
        </w:tc>
        <w:tc>
          <w:tcPr>
            <w:tcW w:w="8844" w:type="dxa"/>
            <w:vMerge w:val="restart"/>
            <w:vAlign w:val="center"/>
          </w:tcPr>
          <w:p w14:paraId="70068179" w14:textId="7F79C0C2" w:rsidR="001D04BD" w:rsidRDefault="001D04BD" w:rsidP="006F0666">
            <w:pPr>
              <w:numPr>
                <w:ilvl w:val="1"/>
                <w:numId w:val="1"/>
              </w:numPr>
              <w:tabs>
                <w:tab w:val="num" w:pos="432"/>
              </w:tabs>
              <w:ind w:left="432"/>
              <w:jc w:val="both"/>
              <w:rPr>
                <w:color w:val="000000"/>
                <w:sz w:val="20"/>
                <w:szCs w:val="20"/>
              </w:rPr>
            </w:pPr>
            <w:r>
              <w:rPr>
                <w:color w:val="000000"/>
                <w:sz w:val="20"/>
                <w:szCs w:val="20"/>
              </w:rPr>
              <w:t xml:space="preserve">In general, the </w:t>
            </w:r>
            <w:r>
              <w:rPr>
                <w:b/>
                <w:color w:val="000000"/>
                <w:sz w:val="20"/>
                <w:szCs w:val="20"/>
              </w:rPr>
              <w:t>exercise of discretion and independent judgment</w:t>
            </w:r>
            <w:r>
              <w:rPr>
                <w:color w:val="000000"/>
                <w:sz w:val="20"/>
                <w:szCs w:val="20"/>
              </w:rPr>
              <w:t xml:space="preserve"> involves the comparison and the evaluation of possible courses of conduct and acting or making a decision after the various possibilities have been considered.  The term must be applied in the light of all the facts involved in the employee’s particular employment situation, and implies that the employee has authority to make an independent choice, free from immediate direction or supervision.  Factors to consider include, but are not limited to whether the employee:</w:t>
            </w:r>
          </w:p>
          <w:p w14:paraId="44A1EDDA" w14:textId="77777777" w:rsidR="001D04BD" w:rsidRPr="00302F17" w:rsidRDefault="001D04BD" w:rsidP="00302F17">
            <w:pPr>
              <w:pStyle w:val="ListParagraph"/>
              <w:numPr>
                <w:ilvl w:val="1"/>
                <w:numId w:val="1"/>
              </w:numPr>
              <w:jc w:val="both"/>
              <w:rPr>
                <w:color w:val="000000"/>
                <w:sz w:val="20"/>
                <w:szCs w:val="20"/>
              </w:rPr>
            </w:pPr>
            <w:r w:rsidRPr="00302F17">
              <w:rPr>
                <w:color w:val="000000"/>
                <w:sz w:val="20"/>
                <w:szCs w:val="20"/>
              </w:rPr>
              <w:t xml:space="preserve">has the authority to formulate, affect, interpret, or implement management policies or operating practices; </w:t>
            </w:r>
          </w:p>
          <w:p w14:paraId="132E9772" w14:textId="7CE4C2B7" w:rsidR="001D04BD" w:rsidRPr="00302F17" w:rsidRDefault="001D04BD" w:rsidP="00302F17">
            <w:pPr>
              <w:pStyle w:val="ListParagraph"/>
              <w:numPr>
                <w:ilvl w:val="1"/>
                <w:numId w:val="1"/>
              </w:numPr>
              <w:jc w:val="both"/>
              <w:rPr>
                <w:color w:val="000000"/>
                <w:sz w:val="20"/>
                <w:szCs w:val="20"/>
              </w:rPr>
            </w:pPr>
            <w:r w:rsidRPr="00302F17">
              <w:rPr>
                <w:color w:val="000000"/>
                <w:sz w:val="20"/>
                <w:szCs w:val="20"/>
              </w:rPr>
              <w:t xml:space="preserve">carries out major assignments in conducting the operations of the business; whether the employee performs work that affects business operations to a substantial degree; </w:t>
            </w:r>
          </w:p>
          <w:p w14:paraId="7D749C52" w14:textId="2A4A1299" w:rsidR="001D04BD" w:rsidRPr="00302F17" w:rsidRDefault="001D04BD" w:rsidP="00302F17">
            <w:pPr>
              <w:pStyle w:val="ListParagraph"/>
              <w:numPr>
                <w:ilvl w:val="1"/>
                <w:numId w:val="1"/>
              </w:numPr>
              <w:jc w:val="both"/>
              <w:rPr>
                <w:color w:val="000000"/>
                <w:sz w:val="20"/>
                <w:szCs w:val="20"/>
              </w:rPr>
            </w:pPr>
            <w:r w:rsidRPr="00302F17">
              <w:rPr>
                <w:color w:val="000000"/>
                <w:sz w:val="20"/>
                <w:szCs w:val="20"/>
              </w:rPr>
              <w:t xml:space="preserve">has authority to commit the employer in matters that have significant financial impact; </w:t>
            </w:r>
          </w:p>
          <w:p w14:paraId="5256B82C" w14:textId="3DF34D35" w:rsidR="00302F17" w:rsidRDefault="001D04BD" w:rsidP="00302F17">
            <w:pPr>
              <w:pStyle w:val="ListParagraph"/>
              <w:numPr>
                <w:ilvl w:val="1"/>
                <w:numId w:val="1"/>
              </w:numPr>
              <w:jc w:val="both"/>
              <w:rPr>
                <w:color w:val="000000"/>
                <w:sz w:val="20"/>
                <w:szCs w:val="20"/>
              </w:rPr>
            </w:pPr>
            <w:proofErr w:type="gramStart"/>
            <w:r w:rsidRPr="00302F17">
              <w:rPr>
                <w:color w:val="000000"/>
                <w:sz w:val="20"/>
                <w:szCs w:val="20"/>
              </w:rPr>
              <w:t>has</w:t>
            </w:r>
            <w:proofErr w:type="gramEnd"/>
            <w:r w:rsidRPr="00302F17">
              <w:rPr>
                <w:color w:val="000000"/>
                <w:sz w:val="20"/>
                <w:szCs w:val="20"/>
              </w:rPr>
              <w:t xml:space="preserve"> authority to waive or deviate from established policies and procedures without prior approval, and other factors set forth in the regulation.  </w:t>
            </w:r>
          </w:p>
          <w:p w14:paraId="2CBCC802" w14:textId="63E454B0" w:rsidR="001D04BD" w:rsidRPr="00302F17" w:rsidRDefault="001D04BD" w:rsidP="00302F17">
            <w:pPr>
              <w:pStyle w:val="ListParagraph"/>
              <w:numPr>
                <w:ilvl w:val="0"/>
                <w:numId w:val="10"/>
              </w:numPr>
              <w:jc w:val="both"/>
              <w:rPr>
                <w:color w:val="000000"/>
                <w:sz w:val="20"/>
                <w:szCs w:val="20"/>
              </w:rPr>
            </w:pPr>
            <w:r w:rsidRPr="00302F17">
              <w:rPr>
                <w:color w:val="000000"/>
                <w:sz w:val="20"/>
                <w:szCs w:val="20"/>
              </w:rPr>
              <w:lastRenderedPageBreak/>
              <w:t xml:space="preserve">The fact that an employee’s decisions are revised or reversed after review does not mean that the employee is not exercising discretion and independent judgment.  The exercise of discretion and independent judgment must be </w:t>
            </w:r>
            <w:r w:rsidRPr="00302F17">
              <w:rPr>
                <w:b/>
                <w:color w:val="000000"/>
                <w:sz w:val="20"/>
              </w:rPr>
              <w:t>more than the use of skill in applying well-established techniques, procedures or specific standards described in manuals or other sources</w:t>
            </w:r>
            <w:r w:rsidRPr="00302F17">
              <w:rPr>
                <w:color w:val="000000"/>
                <w:sz w:val="20"/>
                <w:szCs w:val="20"/>
              </w:rPr>
              <w:t xml:space="preserve">.  </w:t>
            </w:r>
            <w:r w:rsidRPr="00302F17">
              <w:rPr>
                <w:sz w:val="20"/>
                <w:szCs w:val="20"/>
              </w:rPr>
              <w:t>Activities that are clerical or secretarial, recording or tabulating data, or performing other mechanical, repetitive, recurrent or routing work do not meet the “discretion and independent judgement” criteria.</w:t>
            </w:r>
          </w:p>
          <w:p w14:paraId="6151CA85" w14:textId="77777777" w:rsidR="001D04BD" w:rsidRPr="00CC296E" w:rsidRDefault="001D04BD" w:rsidP="00CC296E">
            <w:pPr>
              <w:ind w:left="432"/>
              <w:jc w:val="both"/>
              <w:rPr>
                <w:color w:val="000000"/>
                <w:sz w:val="20"/>
                <w:szCs w:val="20"/>
              </w:rPr>
            </w:pPr>
          </w:p>
          <w:p w14:paraId="19D32955" w14:textId="77777777" w:rsidR="001D04BD" w:rsidRDefault="001D04BD" w:rsidP="00CC296E">
            <w:pPr>
              <w:pStyle w:val="ListParagraph"/>
              <w:numPr>
                <w:ilvl w:val="0"/>
                <w:numId w:val="10"/>
              </w:numPr>
              <w:rPr>
                <w:sz w:val="20"/>
                <w:szCs w:val="20"/>
              </w:rPr>
            </w:pPr>
            <w:r w:rsidRPr="00CC296E">
              <w:rPr>
                <w:sz w:val="20"/>
                <w:szCs w:val="20"/>
              </w:rPr>
              <w:t xml:space="preserve">Examples of discretion and independent judgement include the following:  </w:t>
            </w:r>
          </w:p>
          <w:p w14:paraId="54E573A0" w14:textId="29ED8600" w:rsidR="001D04BD" w:rsidRDefault="001D04BD" w:rsidP="00F927BB">
            <w:pPr>
              <w:pStyle w:val="ListParagraph"/>
              <w:numPr>
                <w:ilvl w:val="2"/>
                <w:numId w:val="10"/>
              </w:numPr>
              <w:rPr>
                <w:sz w:val="20"/>
                <w:szCs w:val="20"/>
              </w:rPr>
            </w:pPr>
            <w:r w:rsidRPr="00CC296E">
              <w:rPr>
                <w:sz w:val="20"/>
                <w:szCs w:val="20"/>
              </w:rPr>
              <w:t xml:space="preserve">has authority to negotiate and bind the </w:t>
            </w:r>
            <w:r>
              <w:rPr>
                <w:sz w:val="20"/>
                <w:szCs w:val="20"/>
              </w:rPr>
              <w:t>department</w:t>
            </w:r>
            <w:r w:rsidRPr="00CC296E">
              <w:rPr>
                <w:sz w:val="20"/>
                <w:szCs w:val="20"/>
              </w:rPr>
              <w:t xml:space="preserve"> on significant matters; </w:t>
            </w:r>
          </w:p>
          <w:p w14:paraId="0191A17D" w14:textId="77777777" w:rsidR="001D04BD" w:rsidRDefault="001D04BD" w:rsidP="00F927BB">
            <w:pPr>
              <w:pStyle w:val="ListParagraph"/>
              <w:numPr>
                <w:ilvl w:val="2"/>
                <w:numId w:val="10"/>
              </w:numPr>
              <w:rPr>
                <w:sz w:val="20"/>
                <w:szCs w:val="20"/>
              </w:rPr>
            </w:pPr>
            <w:r w:rsidRPr="00CC296E">
              <w:rPr>
                <w:sz w:val="20"/>
                <w:szCs w:val="20"/>
              </w:rPr>
              <w:t>provides consultation or expert advice to management;</w:t>
            </w:r>
          </w:p>
          <w:p w14:paraId="4AECDC27" w14:textId="183A8778" w:rsidR="001D04BD" w:rsidRDefault="001D04BD" w:rsidP="00F927BB">
            <w:pPr>
              <w:pStyle w:val="ListParagraph"/>
              <w:numPr>
                <w:ilvl w:val="2"/>
                <w:numId w:val="10"/>
              </w:numPr>
              <w:rPr>
                <w:sz w:val="20"/>
                <w:szCs w:val="20"/>
              </w:rPr>
            </w:pPr>
            <w:r w:rsidRPr="00CC296E">
              <w:rPr>
                <w:sz w:val="20"/>
                <w:szCs w:val="20"/>
              </w:rPr>
              <w:t xml:space="preserve">plans long or short term business objectives; </w:t>
            </w:r>
          </w:p>
          <w:p w14:paraId="7BC6904B" w14:textId="77777777" w:rsidR="001D04BD" w:rsidRDefault="001D04BD" w:rsidP="00F927BB">
            <w:pPr>
              <w:pStyle w:val="ListParagraph"/>
              <w:numPr>
                <w:ilvl w:val="2"/>
                <w:numId w:val="10"/>
              </w:numPr>
              <w:rPr>
                <w:sz w:val="20"/>
                <w:szCs w:val="20"/>
              </w:rPr>
            </w:pPr>
            <w:r w:rsidRPr="00CC296E">
              <w:rPr>
                <w:sz w:val="20"/>
                <w:szCs w:val="20"/>
              </w:rPr>
              <w:t>investigates and resolves matters of significance on behalf of management;</w:t>
            </w:r>
          </w:p>
          <w:p w14:paraId="0B9A8788" w14:textId="62008174" w:rsidR="001D04BD" w:rsidRDefault="001D04BD" w:rsidP="00F927BB">
            <w:pPr>
              <w:pStyle w:val="ListParagraph"/>
              <w:numPr>
                <w:ilvl w:val="2"/>
                <w:numId w:val="10"/>
              </w:numPr>
              <w:rPr>
                <w:sz w:val="20"/>
                <w:szCs w:val="20"/>
              </w:rPr>
            </w:pPr>
            <w:proofErr w:type="gramStart"/>
            <w:r w:rsidRPr="00CC296E">
              <w:rPr>
                <w:sz w:val="20"/>
                <w:szCs w:val="20"/>
              </w:rPr>
              <w:t>represents</w:t>
            </w:r>
            <w:proofErr w:type="gramEnd"/>
            <w:r w:rsidRPr="00CC296E">
              <w:rPr>
                <w:sz w:val="20"/>
                <w:szCs w:val="20"/>
              </w:rPr>
              <w:t xml:space="preserve"> the </w:t>
            </w:r>
            <w:r>
              <w:rPr>
                <w:sz w:val="20"/>
                <w:szCs w:val="20"/>
              </w:rPr>
              <w:t>university</w:t>
            </w:r>
            <w:r w:rsidRPr="00CC296E">
              <w:rPr>
                <w:sz w:val="20"/>
                <w:szCs w:val="20"/>
              </w:rPr>
              <w:t xml:space="preserve"> in handling complaints, disputes, or grievances.</w:t>
            </w:r>
          </w:p>
          <w:p w14:paraId="424E30AB" w14:textId="77777777" w:rsidR="001D04BD" w:rsidRPr="00CC296E" w:rsidRDefault="001D04BD" w:rsidP="00CC296E">
            <w:pPr>
              <w:pStyle w:val="ListParagraph"/>
              <w:rPr>
                <w:sz w:val="20"/>
                <w:szCs w:val="20"/>
              </w:rPr>
            </w:pPr>
          </w:p>
          <w:p w14:paraId="4CADD5CE" w14:textId="77777777" w:rsidR="001D04BD" w:rsidRPr="00F927BB" w:rsidRDefault="001D04BD" w:rsidP="00CC296E">
            <w:pPr>
              <w:pStyle w:val="ListParagraph"/>
              <w:numPr>
                <w:ilvl w:val="0"/>
                <w:numId w:val="10"/>
              </w:numPr>
              <w:tabs>
                <w:tab w:val="num" w:pos="1440"/>
              </w:tabs>
              <w:jc w:val="both"/>
              <w:rPr>
                <w:color w:val="000000"/>
                <w:sz w:val="20"/>
                <w:szCs w:val="20"/>
              </w:rPr>
            </w:pPr>
            <w:r w:rsidRPr="00CC296E">
              <w:rPr>
                <w:sz w:val="20"/>
                <w:szCs w:val="20"/>
              </w:rPr>
              <w:t xml:space="preserve">Examples of jobs that may satisfy the administrative exemption include:  </w:t>
            </w:r>
          </w:p>
          <w:p w14:paraId="43F016D4" w14:textId="48732C63" w:rsidR="001D04BD" w:rsidRPr="00F927BB" w:rsidRDefault="001D04BD" w:rsidP="00F927BB">
            <w:pPr>
              <w:pStyle w:val="ListParagraph"/>
              <w:numPr>
                <w:ilvl w:val="2"/>
                <w:numId w:val="10"/>
              </w:numPr>
              <w:jc w:val="both"/>
              <w:rPr>
                <w:color w:val="000000"/>
                <w:sz w:val="20"/>
                <w:szCs w:val="20"/>
              </w:rPr>
            </w:pPr>
            <w:r w:rsidRPr="00CC296E">
              <w:rPr>
                <w:sz w:val="20"/>
                <w:szCs w:val="20"/>
              </w:rPr>
              <w:t>employees that lead a team of workers assigned to complete a major project for the</w:t>
            </w:r>
            <w:r>
              <w:rPr>
                <w:sz w:val="20"/>
                <w:szCs w:val="20"/>
              </w:rPr>
              <w:t xml:space="preserve"> department</w:t>
            </w:r>
            <w:r w:rsidRPr="00CC296E">
              <w:rPr>
                <w:sz w:val="20"/>
                <w:szCs w:val="20"/>
              </w:rPr>
              <w:t xml:space="preserve">; </w:t>
            </w:r>
          </w:p>
          <w:p w14:paraId="6CA8986E" w14:textId="509912ED" w:rsidR="001D04BD" w:rsidRPr="00F927BB" w:rsidRDefault="001D04BD" w:rsidP="00F927BB">
            <w:pPr>
              <w:pStyle w:val="ListParagraph"/>
              <w:numPr>
                <w:ilvl w:val="2"/>
                <w:numId w:val="10"/>
              </w:numPr>
              <w:jc w:val="both"/>
              <w:rPr>
                <w:color w:val="000000"/>
                <w:sz w:val="20"/>
                <w:szCs w:val="20"/>
              </w:rPr>
            </w:pPr>
            <w:r>
              <w:rPr>
                <w:sz w:val="20"/>
                <w:szCs w:val="20"/>
              </w:rPr>
              <w:t>employees,</w:t>
            </w:r>
            <w:r w:rsidRPr="00CC296E">
              <w:rPr>
                <w:sz w:val="20"/>
                <w:szCs w:val="20"/>
              </w:rPr>
              <w:t xml:space="preserve"> who without specific instructions or prescribed procedures, has been delegated authority regarding matters of significance; </w:t>
            </w:r>
          </w:p>
          <w:p w14:paraId="3BCD899A" w14:textId="77777777" w:rsidR="001D04BD" w:rsidRPr="00CC296E" w:rsidRDefault="001D04BD" w:rsidP="00F927BB">
            <w:pPr>
              <w:pStyle w:val="ListParagraph"/>
              <w:numPr>
                <w:ilvl w:val="2"/>
                <w:numId w:val="10"/>
              </w:numPr>
              <w:jc w:val="both"/>
              <w:rPr>
                <w:color w:val="000000"/>
                <w:sz w:val="20"/>
                <w:szCs w:val="20"/>
              </w:rPr>
            </w:pPr>
            <w:r w:rsidRPr="00CC296E">
              <w:rPr>
                <w:sz w:val="20"/>
                <w:szCs w:val="20"/>
              </w:rPr>
              <w:t xml:space="preserve">Human Resource managers who formulate, interpret, or implement Human Resources policies; purchasing agents with authority to bind the </w:t>
            </w:r>
            <w:r>
              <w:rPr>
                <w:sz w:val="20"/>
                <w:szCs w:val="20"/>
              </w:rPr>
              <w:t>department</w:t>
            </w:r>
            <w:r w:rsidRPr="00CC296E">
              <w:rPr>
                <w:sz w:val="20"/>
                <w:szCs w:val="20"/>
              </w:rPr>
              <w:t xml:space="preserve"> on significant purchases.</w:t>
            </w:r>
          </w:p>
          <w:p w14:paraId="1AECB6DD" w14:textId="572499FB" w:rsidR="001D04BD" w:rsidRPr="00CC296E" w:rsidRDefault="001D04BD" w:rsidP="00786B07">
            <w:pPr>
              <w:numPr>
                <w:ilvl w:val="1"/>
                <w:numId w:val="1"/>
              </w:numPr>
              <w:tabs>
                <w:tab w:val="num" w:pos="432"/>
              </w:tabs>
              <w:ind w:left="432"/>
              <w:jc w:val="both"/>
              <w:rPr>
                <w:color w:val="000000"/>
                <w:sz w:val="20"/>
                <w:szCs w:val="20"/>
              </w:rPr>
            </w:pPr>
            <w:r>
              <w:rPr>
                <w:color w:val="000000"/>
                <w:sz w:val="20"/>
                <w:szCs w:val="20"/>
              </w:rPr>
              <w:t>The term “</w:t>
            </w:r>
            <w:r>
              <w:rPr>
                <w:b/>
                <w:color w:val="000000"/>
                <w:sz w:val="20"/>
                <w:szCs w:val="20"/>
              </w:rPr>
              <w:t>matters of significance</w:t>
            </w:r>
            <w:r>
              <w:rPr>
                <w:color w:val="000000"/>
                <w:sz w:val="20"/>
                <w:szCs w:val="20"/>
              </w:rPr>
              <w:t>” refers to the level of importance or consequence of the work performed.  An employee does not exercise discretion and independent judgment with respect to matters of significance merely because the employer will experience financial losses if the employee fails to perform the job properly.  Similarly, an employee who operates very expensive equipment does not exercise discretion and independent judgment with respect to matters of significance merely because improper performance of the employee’s duties may cause serious financial loss to the employer.</w:t>
            </w:r>
          </w:p>
        </w:tc>
        <w:tc>
          <w:tcPr>
            <w:tcW w:w="236" w:type="dxa"/>
            <w:tcBorders>
              <w:right w:val="single" w:sz="4" w:space="0" w:color="auto"/>
            </w:tcBorders>
          </w:tcPr>
          <w:p w14:paraId="062FFC5A" w14:textId="4991C292" w:rsidR="001D04BD" w:rsidRDefault="00302F17" w:rsidP="00180815">
            <w:pPr>
              <w:tabs>
                <w:tab w:val="num" w:pos="252"/>
              </w:tabs>
              <w:ind w:left="252" w:hanging="252"/>
              <w:jc w:val="both"/>
              <w:rPr>
                <w:color w:val="000000"/>
                <w:sz w:val="20"/>
                <w:szCs w:val="20"/>
              </w:rPr>
            </w:pPr>
            <w:r>
              <w:rPr>
                <w:color w:val="000000"/>
                <w:sz w:val="20"/>
                <w:szCs w:val="20"/>
              </w:rPr>
              <w:lastRenderedPageBreak/>
              <w:t xml:space="preserve"> </w:t>
            </w:r>
          </w:p>
        </w:tc>
        <w:tc>
          <w:tcPr>
            <w:tcW w:w="612" w:type="dxa"/>
            <w:tcBorders>
              <w:left w:val="single" w:sz="4" w:space="0" w:color="auto"/>
              <w:right w:val="single" w:sz="4" w:space="0" w:color="auto"/>
            </w:tcBorders>
            <w:vAlign w:val="center"/>
          </w:tcPr>
          <w:p w14:paraId="79F0C7C8" w14:textId="4CBCBF2D" w:rsidR="001D04BD" w:rsidRDefault="001D04BD" w:rsidP="00180815">
            <w:pPr>
              <w:jc w:val="center"/>
              <w:rPr>
                <w:color w:val="000000"/>
                <w:sz w:val="20"/>
                <w:szCs w:val="20"/>
              </w:rPr>
            </w:pPr>
          </w:p>
        </w:tc>
        <w:tc>
          <w:tcPr>
            <w:tcW w:w="537" w:type="dxa"/>
            <w:tcBorders>
              <w:left w:val="single" w:sz="4" w:space="0" w:color="auto"/>
              <w:right w:val="single" w:sz="4" w:space="0" w:color="auto"/>
            </w:tcBorders>
            <w:vAlign w:val="center"/>
          </w:tcPr>
          <w:p w14:paraId="252D419D" w14:textId="34779F8E" w:rsidR="001D04BD" w:rsidRDefault="001D04BD" w:rsidP="00180815">
            <w:pPr>
              <w:jc w:val="center"/>
              <w:rPr>
                <w:color w:val="000000"/>
                <w:sz w:val="20"/>
                <w:szCs w:val="20"/>
              </w:rPr>
            </w:pPr>
          </w:p>
        </w:tc>
      </w:tr>
      <w:tr w:rsidR="001D04BD" w14:paraId="3B282EDC" w14:textId="77777777" w:rsidTr="00854F70">
        <w:trPr>
          <w:trHeight w:val="1598"/>
        </w:trPr>
        <w:tc>
          <w:tcPr>
            <w:tcW w:w="358" w:type="dxa"/>
            <w:tcBorders>
              <w:left w:val="single" w:sz="4" w:space="0" w:color="auto"/>
              <w:bottom w:val="single" w:sz="4" w:space="0" w:color="auto"/>
            </w:tcBorders>
            <w:vAlign w:val="center"/>
          </w:tcPr>
          <w:p w14:paraId="725EB7C2" w14:textId="77777777" w:rsidR="001D04BD" w:rsidRDefault="001D04BD" w:rsidP="00180815">
            <w:pPr>
              <w:jc w:val="both"/>
              <w:rPr>
                <w:color w:val="000000"/>
                <w:sz w:val="20"/>
                <w:szCs w:val="20"/>
              </w:rPr>
            </w:pPr>
          </w:p>
        </w:tc>
        <w:tc>
          <w:tcPr>
            <w:tcW w:w="8844" w:type="dxa"/>
            <w:vMerge/>
            <w:tcBorders>
              <w:bottom w:val="single" w:sz="4" w:space="0" w:color="auto"/>
            </w:tcBorders>
            <w:vAlign w:val="center"/>
          </w:tcPr>
          <w:p w14:paraId="36BC72B5" w14:textId="65279D61" w:rsidR="001D04BD" w:rsidRDefault="001D04BD" w:rsidP="00786B07">
            <w:pPr>
              <w:numPr>
                <w:ilvl w:val="1"/>
                <w:numId w:val="1"/>
              </w:numPr>
              <w:tabs>
                <w:tab w:val="num" w:pos="432"/>
              </w:tabs>
              <w:ind w:left="432"/>
              <w:jc w:val="both"/>
              <w:rPr>
                <w:color w:val="000000"/>
                <w:sz w:val="20"/>
                <w:szCs w:val="20"/>
              </w:rPr>
            </w:pPr>
          </w:p>
        </w:tc>
        <w:tc>
          <w:tcPr>
            <w:tcW w:w="236" w:type="dxa"/>
            <w:tcBorders>
              <w:bottom w:val="single" w:sz="4" w:space="0" w:color="auto"/>
              <w:right w:val="single" w:sz="4" w:space="0" w:color="auto"/>
            </w:tcBorders>
          </w:tcPr>
          <w:p w14:paraId="76894C83" w14:textId="77777777" w:rsidR="001D04BD" w:rsidRDefault="001D04BD" w:rsidP="00180815">
            <w:pPr>
              <w:tabs>
                <w:tab w:val="num" w:pos="252"/>
              </w:tabs>
              <w:ind w:left="252" w:hanging="252"/>
              <w:jc w:val="both"/>
              <w:rPr>
                <w:color w:val="000000"/>
                <w:sz w:val="20"/>
                <w:szCs w:val="20"/>
              </w:rPr>
            </w:pPr>
          </w:p>
        </w:tc>
        <w:tc>
          <w:tcPr>
            <w:tcW w:w="612" w:type="dxa"/>
            <w:tcBorders>
              <w:left w:val="single" w:sz="4" w:space="0" w:color="auto"/>
              <w:bottom w:val="single" w:sz="4" w:space="0" w:color="auto"/>
              <w:right w:val="single" w:sz="4" w:space="0" w:color="auto"/>
            </w:tcBorders>
            <w:vAlign w:val="center"/>
          </w:tcPr>
          <w:p w14:paraId="0C4937BA" w14:textId="14914D5E" w:rsidR="001D04BD" w:rsidRDefault="001D04BD" w:rsidP="00180815">
            <w:pPr>
              <w:jc w:val="center"/>
              <w:rPr>
                <w:color w:val="000000"/>
                <w:sz w:val="20"/>
                <w:szCs w:val="20"/>
              </w:rPr>
            </w:pPr>
          </w:p>
        </w:tc>
        <w:tc>
          <w:tcPr>
            <w:tcW w:w="537" w:type="dxa"/>
            <w:tcBorders>
              <w:left w:val="single" w:sz="4" w:space="0" w:color="auto"/>
              <w:bottom w:val="single" w:sz="4" w:space="0" w:color="auto"/>
              <w:right w:val="single" w:sz="4" w:space="0" w:color="auto"/>
            </w:tcBorders>
            <w:vAlign w:val="center"/>
          </w:tcPr>
          <w:p w14:paraId="6FEB910A" w14:textId="2551C70C" w:rsidR="001D04BD" w:rsidRPr="00854F70" w:rsidRDefault="001D04BD" w:rsidP="00180815">
            <w:pPr>
              <w:jc w:val="center"/>
              <w:rPr>
                <w:b/>
                <w:color w:val="000000"/>
                <w:sz w:val="20"/>
                <w:szCs w:val="20"/>
              </w:rPr>
            </w:pPr>
          </w:p>
        </w:tc>
      </w:tr>
    </w:tbl>
    <w:p w14:paraId="2A351006" w14:textId="77777777" w:rsidR="00CC296E" w:rsidRDefault="00CC296E" w:rsidP="00786B07">
      <w:pPr>
        <w:pStyle w:val="NormalWeb"/>
        <w:spacing w:before="0" w:beforeAutospacing="0" w:after="0" w:afterAutospacing="0"/>
        <w:jc w:val="both"/>
        <w:rPr>
          <w:rFonts w:ascii="Times New Roman" w:hAnsi="Times New Roman"/>
          <w:b/>
          <w:bCs/>
          <w:color w:val="000000"/>
          <w:sz w:val="20"/>
          <w:szCs w:val="20"/>
        </w:rPr>
      </w:pPr>
      <w:bookmarkStart w:id="6" w:name="3"/>
      <w:bookmarkStart w:id="7" w:name="6"/>
      <w:bookmarkStart w:id="8" w:name="8"/>
      <w:bookmarkEnd w:id="6"/>
      <w:bookmarkEnd w:id="7"/>
      <w:bookmarkEnd w:id="8"/>
    </w:p>
    <w:p w14:paraId="6B927CE6" w14:textId="2AF3640E" w:rsidR="00786B07" w:rsidRDefault="00786B07" w:rsidP="00786B07">
      <w:pPr>
        <w:jc w:val="both"/>
        <w:rPr>
          <w:b/>
          <w:bCs/>
        </w:rPr>
      </w:pPr>
      <w:r>
        <w:rPr>
          <w:b/>
          <w:bCs/>
        </w:rPr>
        <w:t xml:space="preserve">Educational Establishment </w:t>
      </w:r>
      <w:r w:rsidR="00940B4A">
        <w:rPr>
          <w:b/>
          <w:bCs/>
        </w:rPr>
        <w:t>Administrative Review</w:t>
      </w:r>
    </w:p>
    <w:p w14:paraId="6DCE7C90" w14:textId="77777777" w:rsidR="00786B07" w:rsidRDefault="00786B07" w:rsidP="00786B07">
      <w:pPr>
        <w:pStyle w:val="NormalWeb"/>
        <w:spacing w:before="0" w:beforeAutospacing="0" w:after="0" w:afterAutospacing="0"/>
        <w:jc w:val="both"/>
        <w:rPr>
          <w:rFonts w:ascii="Times New Roman" w:hAnsi="Times New Roman"/>
          <w:color w:val="000000"/>
          <w:sz w:val="20"/>
          <w:szCs w:val="20"/>
        </w:rPr>
      </w:pPr>
    </w:p>
    <w:tbl>
      <w:tblPr>
        <w:tblW w:w="0" w:type="auto"/>
        <w:tblLook w:val="01E0" w:firstRow="1" w:lastRow="1" w:firstColumn="1" w:lastColumn="1" w:noHBand="0" w:noVBand="0"/>
      </w:tblPr>
      <w:tblGrid>
        <w:gridCol w:w="286"/>
        <w:gridCol w:w="8831"/>
        <w:gridCol w:w="236"/>
        <w:gridCol w:w="612"/>
        <w:gridCol w:w="537"/>
      </w:tblGrid>
      <w:tr w:rsidR="00786B07" w14:paraId="61BE7828" w14:textId="77777777" w:rsidTr="00F927BB">
        <w:trPr>
          <w:trHeight w:val="422"/>
        </w:trPr>
        <w:tc>
          <w:tcPr>
            <w:tcW w:w="9117" w:type="dxa"/>
            <w:gridSpan w:val="2"/>
            <w:tcBorders>
              <w:top w:val="single" w:sz="4" w:space="0" w:color="auto"/>
              <w:left w:val="single" w:sz="4" w:space="0" w:color="auto"/>
              <w:bottom w:val="single" w:sz="4" w:space="0" w:color="auto"/>
            </w:tcBorders>
            <w:vAlign w:val="center"/>
          </w:tcPr>
          <w:p w14:paraId="258D87A4" w14:textId="7E69CF93" w:rsidR="00786B07" w:rsidRDefault="00786B07" w:rsidP="00180815">
            <w:pPr>
              <w:jc w:val="both"/>
              <w:rPr>
                <w:color w:val="000000"/>
                <w:sz w:val="20"/>
                <w:szCs w:val="20"/>
              </w:rPr>
            </w:pPr>
          </w:p>
        </w:tc>
        <w:tc>
          <w:tcPr>
            <w:tcW w:w="236" w:type="dxa"/>
            <w:tcBorders>
              <w:top w:val="single" w:sz="4" w:space="0" w:color="auto"/>
              <w:bottom w:val="single" w:sz="4" w:space="0" w:color="auto"/>
              <w:right w:val="single" w:sz="4" w:space="0" w:color="auto"/>
            </w:tcBorders>
          </w:tcPr>
          <w:p w14:paraId="419964A3" w14:textId="77777777" w:rsidR="00786B07" w:rsidRDefault="00786B07" w:rsidP="00180815">
            <w:pPr>
              <w:jc w:val="both"/>
              <w:rPr>
                <w:color w:val="000000"/>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14:paraId="34B694B0" w14:textId="77777777" w:rsidR="00786B07" w:rsidRDefault="00786B07" w:rsidP="00180815">
            <w:pPr>
              <w:jc w:val="center"/>
              <w:rPr>
                <w:b/>
                <w:color w:val="000000"/>
                <w:sz w:val="20"/>
                <w:szCs w:val="20"/>
              </w:rPr>
            </w:pPr>
            <w:r>
              <w:rPr>
                <w:b/>
                <w:color w:val="000000"/>
                <w:sz w:val="20"/>
                <w:szCs w:val="20"/>
              </w:rPr>
              <w:t>Yes</w:t>
            </w:r>
          </w:p>
        </w:tc>
        <w:tc>
          <w:tcPr>
            <w:tcW w:w="537" w:type="dxa"/>
            <w:tcBorders>
              <w:top w:val="single" w:sz="4" w:space="0" w:color="auto"/>
              <w:left w:val="single" w:sz="4" w:space="0" w:color="auto"/>
              <w:bottom w:val="single" w:sz="4" w:space="0" w:color="auto"/>
              <w:right w:val="single" w:sz="4" w:space="0" w:color="auto"/>
            </w:tcBorders>
            <w:vAlign w:val="center"/>
          </w:tcPr>
          <w:p w14:paraId="5B72E4C0" w14:textId="77777777" w:rsidR="00786B07" w:rsidRDefault="00786B07" w:rsidP="00180815">
            <w:pPr>
              <w:jc w:val="center"/>
              <w:rPr>
                <w:b/>
                <w:color w:val="000000"/>
                <w:sz w:val="20"/>
                <w:szCs w:val="20"/>
              </w:rPr>
            </w:pPr>
            <w:r>
              <w:rPr>
                <w:b/>
                <w:color w:val="000000"/>
                <w:sz w:val="20"/>
                <w:szCs w:val="20"/>
              </w:rPr>
              <w:t>No</w:t>
            </w:r>
          </w:p>
        </w:tc>
      </w:tr>
      <w:tr w:rsidR="001D04BD" w14:paraId="255D499C" w14:textId="77777777" w:rsidTr="002F236D">
        <w:trPr>
          <w:trHeight w:val="710"/>
        </w:trPr>
        <w:tc>
          <w:tcPr>
            <w:tcW w:w="9117" w:type="dxa"/>
            <w:gridSpan w:val="2"/>
            <w:tcBorders>
              <w:top w:val="single" w:sz="4" w:space="0" w:color="auto"/>
              <w:left w:val="single" w:sz="4" w:space="0" w:color="auto"/>
            </w:tcBorders>
            <w:vAlign w:val="center"/>
          </w:tcPr>
          <w:p w14:paraId="2ABBCB6A" w14:textId="7F7487E5" w:rsidR="001D04BD" w:rsidRDefault="00465722" w:rsidP="00465722">
            <w:pPr>
              <w:numPr>
                <w:ilvl w:val="0"/>
                <w:numId w:val="7"/>
              </w:numPr>
              <w:tabs>
                <w:tab w:val="clear" w:pos="720"/>
                <w:tab w:val="num" w:pos="360"/>
              </w:tabs>
              <w:ind w:left="360"/>
              <w:jc w:val="both"/>
              <w:rPr>
                <w:color w:val="000000"/>
                <w:sz w:val="20"/>
                <w:szCs w:val="20"/>
              </w:rPr>
            </w:pPr>
            <w:r>
              <w:rPr>
                <w:color w:val="000000"/>
                <w:sz w:val="20"/>
                <w:szCs w:val="20"/>
              </w:rPr>
              <w:t>Is t</w:t>
            </w:r>
            <w:r w:rsidR="001D04BD">
              <w:rPr>
                <w:color w:val="000000"/>
                <w:sz w:val="20"/>
                <w:szCs w:val="20"/>
              </w:rPr>
              <w:t xml:space="preserve">he employee’s </w:t>
            </w:r>
            <w:r w:rsidR="001D04BD">
              <w:rPr>
                <w:b/>
                <w:color w:val="000000"/>
                <w:sz w:val="20"/>
                <w:szCs w:val="20"/>
              </w:rPr>
              <w:t>primary duty</w:t>
            </w:r>
            <w:r w:rsidR="001D04BD">
              <w:rPr>
                <w:color w:val="000000"/>
                <w:sz w:val="20"/>
                <w:szCs w:val="20"/>
              </w:rPr>
              <w:t xml:space="preserve"> is performing </w:t>
            </w:r>
            <w:r w:rsidR="001D04BD">
              <w:rPr>
                <w:b/>
                <w:color w:val="000000"/>
                <w:sz w:val="20"/>
                <w:szCs w:val="20"/>
              </w:rPr>
              <w:t xml:space="preserve">academic administrative functions </w:t>
            </w:r>
            <w:r w:rsidR="001D04BD">
              <w:rPr>
                <w:color w:val="000000"/>
                <w:sz w:val="20"/>
                <w:szCs w:val="20"/>
              </w:rPr>
              <w:t>directly related to academic instruction or training in an educational establishment.</w:t>
            </w:r>
            <w:r w:rsidR="001D04BD">
              <w:rPr>
                <w:b/>
                <w:bCs/>
                <w:color w:val="000000"/>
                <w:sz w:val="20"/>
                <w:szCs w:val="20"/>
              </w:rPr>
              <w:t xml:space="preserve"> </w:t>
            </w:r>
          </w:p>
        </w:tc>
        <w:tc>
          <w:tcPr>
            <w:tcW w:w="236" w:type="dxa"/>
            <w:tcBorders>
              <w:top w:val="single" w:sz="4" w:space="0" w:color="auto"/>
              <w:right w:val="single" w:sz="4" w:space="0" w:color="auto"/>
            </w:tcBorders>
          </w:tcPr>
          <w:p w14:paraId="0177761B" w14:textId="77777777" w:rsidR="001D04BD" w:rsidRDefault="001D04BD" w:rsidP="00180815">
            <w:pPr>
              <w:jc w:val="both"/>
              <w:rPr>
                <w:color w:val="000000"/>
                <w:sz w:val="20"/>
                <w:szCs w:val="20"/>
              </w:rPr>
            </w:pPr>
          </w:p>
        </w:tc>
        <w:tc>
          <w:tcPr>
            <w:tcW w:w="612" w:type="dxa"/>
            <w:tcBorders>
              <w:top w:val="single" w:sz="4" w:space="0" w:color="auto"/>
              <w:left w:val="single" w:sz="4" w:space="0" w:color="auto"/>
              <w:right w:val="single" w:sz="4" w:space="0" w:color="auto"/>
            </w:tcBorders>
            <w:vAlign w:val="center"/>
          </w:tcPr>
          <w:p w14:paraId="5EFAA00E" w14:textId="7AB71E4B" w:rsidR="001D04BD" w:rsidRDefault="001D04BD" w:rsidP="00180815">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sidR="00581775">
              <w:rPr>
                <w:color w:val="000000"/>
                <w:sz w:val="20"/>
                <w:szCs w:val="20"/>
              </w:rPr>
            </w:r>
            <w:r w:rsidR="00581775">
              <w:rPr>
                <w:color w:val="000000"/>
                <w:sz w:val="20"/>
                <w:szCs w:val="20"/>
              </w:rPr>
              <w:fldChar w:fldCharType="separate"/>
            </w:r>
            <w:r>
              <w:rPr>
                <w:color w:val="000000"/>
                <w:sz w:val="20"/>
                <w:szCs w:val="20"/>
              </w:rPr>
              <w:fldChar w:fldCharType="end"/>
            </w:r>
          </w:p>
        </w:tc>
        <w:tc>
          <w:tcPr>
            <w:tcW w:w="537" w:type="dxa"/>
            <w:tcBorders>
              <w:top w:val="single" w:sz="4" w:space="0" w:color="auto"/>
              <w:left w:val="single" w:sz="4" w:space="0" w:color="auto"/>
              <w:right w:val="single" w:sz="4" w:space="0" w:color="auto"/>
            </w:tcBorders>
            <w:vAlign w:val="center"/>
          </w:tcPr>
          <w:p w14:paraId="4FDB2668" w14:textId="31C95A13" w:rsidR="001D04BD" w:rsidRDefault="001D04BD" w:rsidP="00180815">
            <w:pPr>
              <w:jc w:val="center"/>
              <w:rPr>
                <w:color w:val="000000"/>
                <w:sz w:val="20"/>
                <w:szCs w:val="20"/>
              </w:rPr>
            </w:pP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581775">
              <w:rPr>
                <w:color w:val="000000"/>
                <w:sz w:val="20"/>
                <w:szCs w:val="20"/>
              </w:rPr>
            </w:r>
            <w:r w:rsidR="00581775">
              <w:rPr>
                <w:color w:val="000000"/>
                <w:sz w:val="20"/>
                <w:szCs w:val="20"/>
              </w:rPr>
              <w:fldChar w:fldCharType="separate"/>
            </w:r>
            <w:r>
              <w:rPr>
                <w:color w:val="000000"/>
                <w:sz w:val="20"/>
                <w:szCs w:val="20"/>
              </w:rPr>
              <w:fldChar w:fldCharType="end"/>
            </w:r>
          </w:p>
        </w:tc>
      </w:tr>
      <w:tr w:rsidR="001D04BD" w14:paraId="3C04CDC9" w14:textId="77777777" w:rsidTr="002F236D">
        <w:trPr>
          <w:trHeight w:val="900"/>
        </w:trPr>
        <w:tc>
          <w:tcPr>
            <w:tcW w:w="286" w:type="dxa"/>
            <w:tcBorders>
              <w:left w:val="single" w:sz="4" w:space="0" w:color="auto"/>
            </w:tcBorders>
            <w:vAlign w:val="center"/>
          </w:tcPr>
          <w:p w14:paraId="06DDB9BF" w14:textId="77777777" w:rsidR="001D04BD" w:rsidRDefault="001D04BD" w:rsidP="00180815">
            <w:pPr>
              <w:jc w:val="both"/>
              <w:rPr>
                <w:color w:val="000000"/>
                <w:sz w:val="20"/>
                <w:szCs w:val="20"/>
              </w:rPr>
            </w:pPr>
          </w:p>
        </w:tc>
        <w:tc>
          <w:tcPr>
            <w:tcW w:w="8831" w:type="dxa"/>
            <w:vAlign w:val="center"/>
          </w:tcPr>
          <w:p w14:paraId="032B8039" w14:textId="77777777" w:rsidR="001D04BD" w:rsidRDefault="001D04BD" w:rsidP="00786B07">
            <w:pPr>
              <w:numPr>
                <w:ilvl w:val="0"/>
                <w:numId w:val="8"/>
              </w:numPr>
              <w:tabs>
                <w:tab w:val="clear" w:pos="720"/>
                <w:tab w:val="num" w:pos="432"/>
              </w:tabs>
              <w:ind w:left="432"/>
              <w:jc w:val="both"/>
              <w:rPr>
                <w:color w:val="000000"/>
                <w:sz w:val="20"/>
                <w:szCs w:val="20"/>
              </w:rPr>
            </w:pPr>
            <w:r>
              <w:rPr>
                <w:color w:val="000000"/>
                <w:sz w:val="20"/>
                <w:szCs w:val="20"/>
              </w:rPr>
              <w:t>“</w:t>
            </w:r>
            <w:r>
              <w:rPr>
                <w:b/>
                <w:color w:val="000000"/>
                <w:sz w:val="20"/>
                <w:szCs w:val="20"/>
              </w:rPr>
              <w:t>Primary duty</w:t>
            </w:r>
            <w:r>
              <w:rPr>
                <w:color w:val="000000"/>
                <w:sz w:val="20"/>
                <w:szCs w:val="20"/>
              </w:rPr>
              <w:t>” means the principal, main, major or most important duty that the employee performs.  Determination of an employee’s primary duty must be based on all the facts in a particular case, with the major emphasis on the character of the employee’s job as a whole.</w:t>
            </w:r>
          </w:p>
        </w:tc>
        <w:tc>
          <w:tcPr>
            <w:tcW w:w="236" w:type="dxa"/>
            <w:tcBorders>
              <w:right w:val="single" w:sz="4" w:space="0" w:color="auto"/>
            </w:tcBorders>
          </w:tcPr>
          <w:p w14:paraId="36E2C826" w14:textId="77777777" w:rsidR="001D04BD" w:rsidRDefault="001D04BD" w:rsidP="00180815">
            <w:pPr>
              <w:jc w:val="both"/>
              <w:rPr>
                <w:color w:val="000000"/>
                <w:sz w:val="20"/>
                <w:szCs w:val="20"/>
              </w:rPr>
            </w:pPr>
          </w:p>
        </w:tc>
        <w:tc>
          <w:tcPr>
            <w:tcW w:w="612" w:type="dxa"/>
            <w:tcBorders>
              <w:left w:val="single" w:sz="4" w:space="0" w:color="auto"/>
              <w:right w:val="single" w:sz="4" w:space="0" w:color="auto"/>
            </w:tcBorders>
            <w:vAlign w:val="center"/>
          </w:tcPr>
          <w:p w14:paraId="3525318D" w14:textId="3C4D3463" w:rsidR="001D04BD" w:rsidRDefault="001D04BD" w:rsidP="00180815">
            <w:pPr>
              <w:jc w:val="center"/>
              <w:rPr>
                <w:color w:val="000000"/>
                <w:sz w:val="20"/>
                <w:szCs w:val="20"/>
              </w:rPr>
            </w:pPr>
          </w:p>
        </w:tc>
        <w:tc>
          <w:tcPr>
            <w:tcW w:w="537" w:type="dxa"/>
            <w:tcBorders>
              <w:left w:val="single" w:sz="4" w:space="0" w:color="auto"/>
              <w:right w:val="single" w:sz="4" w:space="0" w:color="auto"/>
            </w:tcBorders>
            <w:vAlign w:val="center"/>
          </w:tcPr>
          <w:p w14:paraId="6EEAAD3C" w14:textId="78DF88B6" w:rsidR="001D04BD" w:rsidRDefault="001D04BD" w:rsidP="00180815">
            <w:pPr>
              <w:jc w:val="center"/>
              <w:rPr>
                <w:color w:val="000000"/>
                <w:sz w:val="20"/>
                <w:szCs w:val="20"/>
              </w:rPr>
            </w:pPr>
          </w:p>
        </w:tc>
      </w:tr>
      <w:tr w:rsidR="001D04BD" w14:paraId="3CAA4A04" w14:textId="77777777" w:rsidTr="002F236D">
        <w:trPr>
          <w:trHeight w:val="2331"/>
        </w:trPr>
        <w:tc>
          <w:tcPr>
            <w:tcW w:w="286" w:type="dxa"/>
            <w:tcBorders>
              <w:left w:val="single" w:sz="4" w:space="0" w:color="auto"/>
              <w:bottom w:val="single" w:sz="4" w:space="0" w:color="auto"/>
            </w:tcBorders>
            <w:vAlign w:val="center"/>
          </w:tcPr>
          <w:p w14:paraId="1F575C95" w14:textId="77777777" w:rsidR="001D04BD" w:rsidRDefault="001D04BD" w:rsidP="00180815">
            <w:pPr>
              <w:pStyle w:val="NormalWeb"/>
              <w:spacing w:before="0" w:beforeAutospacing="0" w:after="0" w:afterAutospacing="0"/>
              <w:jc w:val="both"/>
              <w:rPr>
                <w:rFonts w:ascii="Times New Roman" w:hAnsi="Times New Roman"/>
                <w:color w:val="000000"/>
                <w:sz w:val="20"/>
                <w:szCs w:val="20"/>
              </w:rPr>
            </w:pPr>
          </w:p>
        </w:tc>
        <w:tc>
          <w:tcPr>
            <w:tcW w:w="8831" w:type="dxa"/>
            <w:tcBorders>
              <w:bottom w:val="single" w:sz="4" w:space="0" w:color="auto"/>
            </w:tcBorders>
            <w:vAlign w:val="center"/>
          </w:tcPr>
          <w:p w14:paraId="75877B52" w14:textId="77777777" w:rsidR="001D04BD" w:rsidRDefault="001D04BD" w:rsidP="00786B07">
            <w:pPr>
              <w:numPr>
                <w:ilvl w:val="0"/>
                <w:numId w:val="8"/>
              </w:numPr>
              <w:tabs>
                <w:tab w:val="clear" w:pos="720"/>
                <w:tab w:val="num" w:pos="432"/>
              </w:tabs>
              <w:ind w:left="432"/>
              <w:jc w:val="both"/>
              <w:rPr>
                <w:color w:val="000000"/>
                <w:sz w:val="20"/>
                <w:szCs w:val="20"/>
              </w:rPr>
            </w:pPr>
            <w:r>
              <w:rPr>
                <w:b/>
                <w:color w:val="000000"/>
                <w:sz w:val="20"/>
                <w:szCs w:val="20"/>
              </w:rPr>
              <w:t xml:space="preserve">Academic administrative functions </w:t>
            </w:r>
            <w:r>
              <w:rPr>
                <w:color w:val="000000"/>
                <w:sz w:val="20"/>
                <w:szCs w:val="20"/>
              </w:rPr>
              <w:t>include operations directly in the field of education, and do not include jobs relating to areas outside the educational field.</w:t>
            </w:r>
            <w:r>
              <w:rPr>
                <w:b/>
                <w:bCs/>
                <w:color w:val="000000"/>
                <w:sz w:val="20"/>
                <w:szCs w:val="20"/>
              </w:rPr>
              <w:t xml:space="preserve">  </w:t>
            </w:r>
            <w:r>
              <w:rPr>
                <w:color w:val="000000"/>
                <w:sz w:val="20"/>
                <w:szCs w:val="20"/>
              </w:rPr>
              <w:t>Employees engaged in academic administrative functions include:</w:t>
            </w:r>
          </w:p>
          <w:p w14:paraId="43815B63" w14:textId="6461050A" w:rsidR="001D04BD" w:rsidRPr="009B548C" w:rsidRDefault="001D04BD" w:rsidP="00F927BB">
            <w:pPr>
              <w:numPr>
                <w:ilvl w:val="2"/>
                <w:numId w:val="8"/>
              </w:numPr>
              <w:jc w:val="both"/>
              <w:rPr>
                <w:color w:val="000000"/>
                <w:sz w:val="20"/>
                <w:szCs w:val="20"/>
              </w:rPr>
            </w:pPr>
            <w:r>
              <w:rPr>
                <w:color w:val="000000"/>
                <w:sz w:val="20"/>
                <w:szCs w:val="20"/>
              </w:rPr>
              <w:t>administration of such matters as curriculum, quality and methods of instructing, measuring and testing the learning potential and achievement of students, establishing and maintaining academic and grading standards, and other aspects of the teaching program;</w:t>
            </w:r>
          </w:p>
          <w:p w14:paraId="549BBA62" w14:textId="77777777" w:rsidR="001D04BD" w:rsidRDefault="001D04BD" w:rsidP="00F927BB">
            <w:pPr>
              <w:numPr>
                <w:ilvl w:val="2"/>
                <w:numId w:val="8"/>
              </w:numPr>
              <w:jc w:val="both"/>
              <w:rPr>
                <w:color w:val="000000"/>
                <w:sz w:val="20"/>
                <w:szCs w:val="20"/>
              </w:rPr>
            </w:pPr>
            <w:r>
              <w:rPr>
                <w:color w:val="000000"/>
                <w:sz w:val="20"/>
                <w:szCs w:val="20"/>
              </w:rPr>
              <w:t xml:space="preserve">department heads in institutions of higher education responsible for the various subject matter departments; </w:t>
            </w:r>
          </w:p>
          <w:p w14:paraId="754A1E23" w14:textId="77777777" w:rsidR="001D04BD" w:rsidRDefault="001D04BD" w:rsidP="00F927BB">
            <w:pPr>
              <w:numPr>
                <w:ilvl w:val="2"/>
                <w:numId w:val="8"/>
              </w:numPr>
              <w:jc w:val="both"/>
              <w:rPr>
                <w:color w:val="000000"/>
                <w:sz w:val="20"/>
                <w:szCs w:val="20"/>
              </w:rPr>
            </w:pPr>
            <w:r>
              <w:rPr>
                <w:color w:val="000000"/>
                <w:sz w:val="20"/>
                <w:szCs w:val="20"/>
              </w:rPr>
              <w:t>academic counselors and other employees with similar responsibilities</w:t>
            </w:r>
          </w:p>
        </w:tc>
        <w:tc>
          <w:tcPr>
            <w:tcW w:w="236" w:type="dxa"/>
            <w:tcBorders>
              <w:bottom w:val="single" w:sz="4" w:space="0" w:color="auto"/>
              <w:right w:val="single" w:sz="4" w:space="0" w:color="auto"/>
            </w:tcBorders>
          </w:tcPr>
          <w:p w14:paraId="37730B11" w14:textId="77777777" w:rsidR="001D04BD" w:rsidRDefault="001D04BD" w:rsidP="00180815">
            <w:pPr>
              <w:jc w:val="both"/>
              <w:rPr>
                <w:color w:val="000000"/>
                <w:sz w:val="20"/>
                <w:szCs w:val="20"/>
              </w:rPr>
            </w:pPr>
          </w:p>
        </w:tc>
        <w:tc>
          <w:tcPr>
            <w:tcW w:w="612" w:type="dxa"/>
            <w:tcBorders>
              <w:left w:val="single" w:sz="4" w:space="0" w:color="auto"/>
              <w:bottom w:val="single" w:sz="4" w:space="0" w:color="auto"/>
              <w:right w:val="single" w:sz="4" w:space="0" w:color="auto"/>
            </w:tcBorders>
            <w:vAlign w:val="center"/>
          </w:tcPr>
          <w:p w14:paraId="537C69CF" w14:textId="25707A34" w:rsidR="001D04BD" w:rsidRDefault="001D04BD" w:rsidP="00180815">
            <w:pPr>
              <w:jc w:val="center"/>
              <w:rPr>
                <w:color w:val="000000"/>
                <w:sz w:val="20"/>
                <w:szCs w:val="20"/>
              </w:rPr>
            </w:pPr>
          </w:p>
        </w:tc>
        <w:tc>
          <w:tcPr>
            <w:tcW w:w="537" w:type="dxa"/>
            <w:tcBorders>
              <w:left w:val="single" w:sz="4" w:space="0" w:color="auto"/>
              <w:bottom w:val="single" w:sz="4" w:space="0" w:color="auto"/>
              <w:right w:val="single" w:sz="4" w:space="0" w:color="auto"/>
            </w:tcBorders>
            <w:vAlign w:val="center"/>
          </w:tcPr>
          <w:p w14:paraId="66F413D9" w14:textId="11B60165" w:rsidR="001D04BD" w:rsidRDefault="001D04BD" w:rsidP="00180815">
            <w:pPr>
              <w:jc w:val="center"/>
              <w:rPr>
                <w:color w:val="000000"/>
                <w:sz w:val="20"/>
                <w:szCs w:val="20"/>
              </w:rPr>
            </w:pPr>
          </w:p>
        </w:tc>
      </w:tr>
    </w:tbl>
    <w:p w14:paraId="76A38C67" w14:textId="77777777" w:rsidR="001729AC" w:rsidRDefault="001729AC" w:rsidP="00786B07">
      <w:pPr>
        <w:jc w:val="both"/>
        <w:rPr>
          <w:sz w:val="20"/>
          <w:szCs w:val="20"/>
        </w:rPr>
      </w:pPr>
      <w:bookmarkStart w:id="9" w:name="9"/>
      <w:bookmarkEnd w:id="9"/>
    </w:p>
    <w:p w14:paraId="2FC42608" w14:textId="0ABEB4F2" w:rsidR="000432A7" w:rsidRPr="004B693B" w:rsidRDefault="005939F3" w:rsidP="000432A7">
      <w:pPr>
        <w:jc w:val="both"/>
        <w:rPr>
          <w:sz w:val="16"/>
          <w:szCs w:val="20"/>
        </w:rPr>
      </w:pPr>
      <w:r w:rsidRPr="004B693B">
        <w:rPr>
          <w:noProof/>
          <w:sz w:val="16"/>
          <w:szCs w:val="20"/>
        </w:rPr>
        <mc:AlternateContent>
          <mc:Choice Requires="wps">
            <w:drawing>
              <wp:anchor distT="0" distB="0" distL="114300" distR="114300" simplePos="0" relativeHeight="251661312" behindDoc="0" locked="0" layoutInCell="1" allowOverlap="1" wp14:anchorId="765CCC56" wp14:editId="6117E5D1">
                <wp:simplePos x="0" y="0"/>
                <wp:positionH relativeFrom="column">
                  <wp:posOffset>1765935</wp:posOffset>
                </wp:positionH>
                <wp:positionV relativeFrom="paragraph">
                  <wp:posOffset>-51435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62E66E" id="Rectangle 2" o:spid="_x0000_s1026" style="position:absolute;margin-left:139.05pt;margin-top:-4.05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" filled="f" strokecolor="black [3213]" strokeweight="1pt"/>
            </w:pict>
          </mc:Fallback>
        </mc:AlternateContent>
      </w:r>
      <w:r w:rsidRPr="004B693B">
        <w:rPr>
          <w:sz w:val="16"/>
          <w:szCs w:val="20"/>
        </w:rPr>
        <w:t xml:space="preserve">Copy of job description attached  </w:t>
      </w:r>
      <w:r w:rsidR="000432A7" w:rsidRPr="004B693B">
        <w:rPr>
          <w:sz w:val="16"/>
          <w:szCs w:val="20"/>
        </w:rPr>
        <w:t xml:space="preserve">                                                                            </w:t>
      </w:r>
    </w:p>
    <w:p w14:paraId="12F3D7E7" w14:textId="77777777" w:rsidR="000432A7" w:rsidRDefault="000432A7" w:rsidP="000432A7"/>
    <w:p w14:paraId="6E826616" w14:textId="77777777" w:rsidR="00786B07" w:rsidRDefault="00786B07" w:rsidP="00786B07">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1B935660" w14:textId="77777777" w:rsidR="00786B07" w:rsidRDefault="008012FB" w:rsidP="00786B07">
      <w:pPr>
        <w:jc w:val="both"/>
        <w:rPr>
          <w:sz w:val="20"/>
          <w:szCs w:val="20"/>
        </w:rPr>
      </w:pPr>
      <w:r>
        <w:rPr>
          <w:sz w:val="20"/>
          <w:szCs w:val="20"/>
        </w:rPr>
        <w:t>Completed by</w:t>
      </w:r>
      <w:r w:rsidR="00786B07">
        <w:rPr>
          <w:sz w:val="20"/>
          <w:szCs w:val="20"/>
        </w:rPr>
        <w:tab/>
      </w:r>
      <w:r w:rsidR="00786B07">
        <w:rPr>
          <w:sz w:val="20"/>
          <w:szCs w:val="20"/>
        </w:rPr>
        <w:tab/>
      </w:r>
      <w:r w:rsidR="00786B07">
        <w:rPr>
          <w:sz w:val="20"/>
          <w:szCs w:val="20"/>
        </w:rPr>
        <w:tab/>
      </w:r>
      <w:r w:rsidR="00786B07">
        <w:rPr>
          <w:sz w:val="20"/>
          <w:szCs w:val="20"/>
        </w:rPr>
        <w:tab/>
      </w:r>
      <w:r w:rsidR="00786B07">
        <w:rPr>
          <w:sz w:val="20"/>
          <w:szCs w:val="20"/>
        </w:rPr>
        <w:tab/>
      </w:r>
      <w:r w:rsidR="00786B07">
        <w:rPr>
          <w:sz w:val="20"/>
          <w:szCs w:val="20"/>
        </w:rPr>
        <w:tab/>
      </w:r>
      <w:r w:rsidR="00786B07">
        <w:rPr>
          <w:sz w:val="20"/>
          <w:szCs w:val="20"/>
        </w:rPr>
        <w:tab/>
      </w:r>
      <w:r w:rsidR="00786B07">
        <w:rPr>
          <w:sz w:val="20"/>
          <w:szCs w:val="20"/>
        </w:rPr>
        <w:tab/>
        <w:t>Date</w:t>
      </w:r>
    </w:p>
    <w:p w14:paraId="2A25E771" w14:textId="0DB87C19" w:rsidR="005A495E" w:rsidRDefault="005A495E" w:rsidP="005A495E">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bookmarkStart w:id="10" w:name="_GoBack"/>
      <w:bookmarkEnd w:id="10"/>
    </w:p>
    <w:p w14:paraId="1BA4D328" w14:textId="19725477" w:rsidR="005A495E" w:rsidRPr="00581775" w:rsidRDefault="005A495E" w:rsidP="00F927BB">
      <w:pPr>
        <w:jc w:val="both"/>
        <w:rPr>
          <w:sz w:val="20"/>
          <w:szCs w:val="20"/>
        </w:rPr>
      </w:pPr>
      <w:r w:rsidRPr="00581775">
        <w:rPr>
          <w:sz w:val="20"/>
          <w:szCs w:val="20"/>
        </w:rPr>
        <w:t>HR Review</w:t>
      </w:r>
      <w:r w:rsidRPr="00581775">
        <w:rPr>
          <w:sz w:val="20"/>
          <w:szCs w:val="20"/>
        </w:rPr>
        <w:tab/>
      </w:r>
      <w:r w:rsidRPr="00581775">
        <w:rPr>
          <w:sz w:val="20"/>
          <w:szCs w:val="20"/>
        </w:rPr>
        <w:tab/>
      </w:r>
      <w:r w:rsidRPr="00581775">
        <w:rPr>
          <w:sz w:val="20"/>
          <w:szCs w:val="20"/>
        </w:rPr>
        <w:tab/>
      </w:r>
      <w:r w:rsidRPr="00581775">
        <w:rPr>
          <w:sz w:val="20"/>
          <w:szCs w:val="20"/>
        </w:rPr>
        <w:tab/>
      </w:r>
      <w:r w:rsidRPr="00581775">
        <w:rPr>
          <w:sz w:val="20"/>
          <w:szCs w:val="20"/>
        </w:rPr>
        <w:tab/>
      </w:r>
      <w:r w:rsidRPr="00581775">
        <w:rPr>
          <w:sz w:val="20"/>
          <w:szCs w:val="20"/>
        </w:rPr>
        <w:tab/>
      </w:r>
      <w:r w:rsidRPr="00581775">
        <w:rPr>
          <w:sz w:val="20"/>
          <w:szCs w:val="20"/>
        </w:rPr>
        <w:tab/>
      </w:r>
      <w:r w:rsidRPr="00581775">
        <w:rPr>
          <w:sz w:val="20"/>
          <w:szCs w:val="20"/>
        </w:rPr>
        <w:tab/>
        <w:t>Dat</w:t>
      </w:r>
      <w:r w:rsidR="00173ACE" w:rsidRPr="00581775">
        <w:rPr>
          <w:sz w:val="20"/>
          <w:szCs w:val="20"/>
        </w:rPr>
        <w:t>e</w:t>
      </w:r>
      <w:r w:rsidR="00581775" w:rsidRPr="00581775">
        <w:rPr>
          <w:sz w:val="20"/>
          <w:szCs w:val="20"/>
        </w:rPr>
        <w:tab/>
      </w:r>
      <w:r w:rsidR="00581775" w:rsidRPr="00581775">
        <w:rPr>
          <w:sz w:val="20"/>
          <w:szCs w:val="20"/>
        </w:rPr>
        <w:tab/>
      </w:r>
      <w:r w:rsidR="00581775" w:rsidRPr="00581775">
        <w:rPr>
          <w:sz w:val="16"/>
          <w:szCs w:val="20"/>
        </w:rPr>
        <w:t xml:space="preserve">Meets salary </w:t>
      </w:r>
      <w:proofErr w:type="gramStart"/>
      <w:r w:rsidR="00581775" w:rsidRPr="00581775">
        <w:rPr>
          <w:sz w:val="16"/>
          <w:szCs w:val="20"/>
        </w:rPr>
        <w:t>threshold  Y</w:t>
      </w:r>
      <w:proofErr w:type="gramEnd"/>
      <w:r w:rsidR="00581775" w:rsidRPr="00581775">
        <w:rPr>
          <w:sz w:val="16"/>
          <w:szCs w:val="20"/>
        </w:rPr>
        <w:t>/N</w:t>
      </w:r>
    </w:p>
    <w:sectPr w:rsidR="005A495E" w:rsidRPr="00581775">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14FE2" w14:textId="77777777" w:rsidR="00B477C2" w:rsidRDefault="008012FB">
      <w:r>
        <w:separator/>
      </w:r>
    </w:p>
  </w:endnote>
  <w:endnote w:type="continuationSeparator" w:id="0">
    <w:p w14:paraId="0162A409" w14:textId="77777777" w:rsidR="00B477C2" w:rsidRDefault="008012FB">
      <w:r>
        <w:continuationSeparator/>
      </w:r>
    </w:p>
  </w:endnote>
  <w:endnote w:type="continuationNotice" w:id="1">
    <w:p w14:paraId="4AC08EFD" w14:textId="77777777" w:rsidR="003143F6" w:rsidRDefault="00314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275B" w14:textId="6AECBD25" w:rsidR="008A1C33" w:rsidRDefault="00786B07">
    <w:pPr>
      <w:pStyle w:val="Footer"/>
      <w:rPr>
        <w:sz w:val="20"/>
        <w:szCs w:val="20"/>
      </w:rPr>
    </w:pPr>
    <w:r>
      <w:rPr>
        <w:sz w:val="20"/>
        <w:szCs w:val="20"/>
      </w:rPr>
      <w:t xml:space="preserve">Form Created </w:t>
    </w:r>
    <w:r w:rsidR="00EB581E">
      <w:rPr>
        <w:sz w:val="20"/>
        <w:szCs w:val="20"/>
      </w:rPr>
      <w:t>–</w:t>
    </w:r>
    <w:r>
      <w:rPr>
        <w:sz w:val="20"/>
        <w:szCs w:val="20"/>
      </w:rPr>
      <w:t xml:space="preserve"> </w:t>
    </w:r>
    <w:r w:rsidR="00EB581E">
      <w:rPr>
        <w:sz w:val="20"/>
        <w:szCs w:val="20"/>
      </w:rPr>
      <w:fldChar w:fldCharType="begin"/>
    </w:r>
    <w:r w:rsidR="00EB581E">
      <w:rPr>
        <w:sz w:val="20"/>
        <w:szCs w:val="20"/>
      </w:rPr>
      <w:instrText xml:space="preserve"> CREATEDATE  \@ "MMMM yy" </w:instrText>
    </w:r>
    <w:r w:rsidR="00EB581E">
      <w:rPr>
        <w:sz w:val="20"/>
        <w:szCs w:val="20"/>
      </w:rPr>
      <w:fldChar w:fldCharType="separate"/>
    </w:r>
    <w:r w:rsidR="00302F17">
      <w:rPr>
        <w:noProof/>
        <w:sz w:val="20"/>
        <w:szCs w:val="20"/>
      </w:rPr>
      <w:t>August 16</w:t>
    </w:r>
    <w:r w:rsidR="00EB581E">
      <w:rPr>
        <w:sz w:val="20"/>
        <w:szCs w:val="20"/>
      </w:rPr>
      <w:fldChar w:fldCharType="end"/>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581775">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581775">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A8900" w14:textId="77777777" w:rsidR="00B477C2" w:rsidRDefault="008012FB">
      <w:r>
        <w:separator/>
      </w:r>
    </w:p>
  </w:footnote>
  <w:footnote w:type="continuationSeparator" w:id="0">
    <w:p w14:paraId="472B7502" w14:textId="77777777" w:rsidR="00B477C2" w:rsidRDefault="008012FB">
      <w:r>
        <w:continuationSeparator/>
      </w:r>
    </w:p>
  </w:footnote>
  <w:footnote w:type="continuationNotice" w:id="1">
    <w:p w14:paraId="22A307A5" w14:textId="77777777" w:rsidR="003143F6" w:rsidRDefault="003143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2FCB"/>
    <w:multiLevelType w:val="hybridMultilevel"/>
    <w:tmpl w:val="58B8DD0C"/>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77D23"/>
    <w:multiLevelType w:val="hybridMultilevel"/>
    <w:tmpl w:val="BCB2881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3F37DB"/>
    <w:multiLevelType w:val="hybridMultilevel"/>
    <w:tmpl w:val="23EEE97A"/>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751E5"/>
    <w:multiLevelType w:val="hybridMultilevel"/>
    <w:tmpl w:val="E956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1672D"/>
    <w:multiLevelType w:val="hybridMultilevel"/>
    <w:tmpl w:val="9E84D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7592A"/>
    <w:multiLevelType w:val="hybridMultilevel"/>
    <w:tmpl w:val="C7D032D2"/>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337E30"/>
    <w:multiLevelType w:val="hybridMultilevel"/>
    <w:tmpl w:val="2928720A"/>
    <w:lvl w:ilvl="0" w:tplc="14A0B4A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0005A5"/>
    <w:multiLevelType w:val="hybridMultilevel"/>
    <w:tmpl w:val="732E37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1F307D"/>
    <w:multiLevelType w:val="hybridMultilevel"/>
    <w:tmpl w:val="8C02CFAE"/>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421927"/>
    <w:multiLevelType w:val="hybridMultilevel"/>
    <w:tmpl w:val="5022B002"/>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9"/>
  </w:num>
  <w:num w:numId="6">
    <w:abstractNumId w:val="0"/>
  </w:num>
  <w:num w:numId="7">
    <w:abstractNumId w:val="8"/>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07"/>
    <w:rsid w:val="0002012E"/>
    <w:rsid w:val="00037728"/>
    <w:rsid w:val="000432A7"/>
    <w:rsid w:val="001729AC"/>
    <w:rsid w:val="00173ACE"/>
    <w:rsid w:val="001B1ECB"/>
    <w:rsid w:val="001B2698"/>
    <w:rsid w:val="001D04BD"/>
    <w:rsid w:val="001D1228"/>
    <w:rsid w:val="001D37C2"/>
    <w:rsid w:val="00271519"/>
    <w:rsid w:val="002B3F9E"/>
    <w:rsid w:val="002E75F6"/>
    <w:rsid w:val="002F236D"/>
    <w:rsid w:val="00302F17"/>
    <w:rsid w:val="003143F6"/>
    <w:rsid w:val="00335775"/>
    <w:rsid w:val="0036272B"/>
    <w:rsid w:val="003D77AE"/>
    <w:rsid w:val="00465722"/>
    <w:rsid w:val="004B693B"/>
    <w:rsid w:val="00581775"/>
    <w:rsid w:val="005939F3"/>
    <w:rsid w:val="005A495E"/>
    <w:rsid w:val="00607A00"/>
    <w:rsid w:val="00620481"/>
    <w:rsid w:val="00664F97"/>
    <w:rsid w:val="006F0666"/>
    <w:rsid w:val="00735C71"/>
    <w:rsid w:val="00737678"/>
    <w:rsid w:val="00785120"/>
    <w:rsid w:val="00786B07"/>
    <w:rsid w:val="007B48F2"/>
    <w:rsid w:val="007E62B9"/>
    <w:rsid w:val="008012FB"/>
    <w:rsid w:val="00854F70"/>
    <w:rsid w:val="00940B4A"/>
    <w:rsid w:val="00970C21"/>
    <w:rsid w:val="009B548C"/>
    <w:rsid w:val="009B59E8"/>
    <w:rsid w:val="009D44CE"/>
    <w:rsid w:val="00A179E2"/>
    <w:rsid w:val="00A76534"/>
    <w:rsid w:val="00B477C2"/>
    <w:rsid w:val="00B56A73"/>
    <w:rsid w:val="00BB20CA"/>
    <w:rsid w:val="00C235C7"/>
    <w:rsid w:val="00CC296E"/>
    <w:rsid w:val="00D62429"/>
    <w:rsid w:val="00DD66F7"/>
    <w:rsid w:val="00EB581E"/>
    <w:rsid w:val="00EF0E45"/>
    <w:rsid w:val="00F0661C"/>
    <w:rsid w:val="00F9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6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6B07"/>
    <w:pPr>
      <w:jc w:val="center"/>
    </w:pPr>
    <w:rPr>
      <w:b/>
      <w:bCs/>
    </w:rPr>
  </w:style>
  <w:style w:type="character" w:customStyle="1" w:styleId="TitleChar">
    <w:name w:val="Title Char"/>
    <w:basedOn w:val="DefaultParagraphFont"/>
    <w:link w:val="Title"/>
    <w:rsid w:val="00786B07"/>
    <w:rPr>
      <w:rFonts w:ascii="Times New Roman" w:eastAsia="Times New Roman" w:hAnsi="Times New Roman" w:cs="Times New Roman"/>
      <w:b/>
      <w:bCs/>
      <w:sz w:val="24"/>
      <w:szCs w:val="24"/>
    </w:rPr>
  </w:style>
  <w:style w:type="paragraph" w:styleId="Subtitle">
    <w:name w:val="Subtitle"/>
    <w:basedOn w:val="Normal"/>
    <w:link w:val="SubtitleChar"/>
    <w:qFormat/>
    <w:rsid w:val="00786B07"/>
    <w:pPr>
      <w:jc w:val="center"/>
    </w:pPr>
    <w:rPr>
      <w:b/>
      <w:bCs/>
    </w:rPr>
  </w:style>
  <w:style w:type="character" w:customStyle="1" w:styleId="SubtitleChar">
    <w:name w:val="Subtitle Char"/>
    <w:basedOn w:val="DefaultParagraphFont"/>
    <w:link w:val="Subtitle"/>
    <w:rsid w:val="00786B07"/>
    <w:rPr>
      <w:rFonts w:ascii="Times New Roman" w:eastAsia="Times New Roman" w:hAnsi="Times New Roman" w:cs="Times New Roman"/>
      <w:b/>
      <w:bCs/>
      <w:sz w:val="24"/>
      <w:szCs w:val="24"/>
    </w:rPr>
  </w:style>
  <w:style w:type="paragraph" w:styleId="NormalWeb">
    <w:name w:val="Normal (Web)"/>
    <w:basedOn w:val="Normal"/>
    <w:rsid w:val="00786B07"/>
    <w:pPr>
      <w:spacing w:before="100" w:beforeAutospacing="1" w:after="100" w:afterAutospacing="1"/>
    </w:pPr>
    <w:rPr>
      <w:rFonts w:ascii="Verdana" w:hAnsi="Verdana"/>
      <w:sz w:val="19"/>
      <w:szCs w:val="19"/>
    </w:rPr>
  </w:style>
  <w:style w:type="character" w:styleId="Hyperlink">
    <w:name w:val="Hyperlink"/>
    <w:basedOn w:val="DefaultParagraphFont"/>
    <w:rsid w:val="00786B07"/>
    <w:rPr>
      <w:color w:val="0000FF"/>
      <w:u w:val="single"/>
    </w:rPr>
  </w:style>
  <w:style w:type="paragraph" w:styleId="Footer">
    <w:name w:val="footer"/>
    <w:basedOn w:val="Normal"/>
    <w:link w:val="FooterChar"/>
    <w:rsid w:val="00786B07"/>
    <w:pPr>
      <w:tabs>
        <w:tab w:val="center" w:pos="4320"/>
        <w:tab w:val="right" w:pos="8640"/>
      </w:tabs>
    </w:pPr>
  </w:style>
  <w:style w:type="character" w:customStyle="1" w:styleId="FooterChar">
    <w:name w:val="Footer Char"/>
    <w:basedOn w:val="DefaultParagraphFont"/>
    <w:link w:val="Footer"/>
    <w:rsid w:val="00786B07"/>
    <w:rPr>
      <w:rFonts w:ascii="Times New Roman" w:eastAsia="Times New Roman" w:hAnsi="Times New Roman" w:cs="Times New Roman"/>
      <w:sz w:val="24"/>
      <w:szCs w:val="24"/>
    </w:rPr>
  </w:style>
  <w:style w:type="paragraph" w:styleId="ListParagraph">
    <w:name w:val="List Paragraph"/>
    <w:basedOn w:val="Normal"/>
    <w:uiPriority w:val="34"/>
    <w:qFormat/>
    <w:rsid w:val="00607A00"/>
    <w:pPr>
      <w:ind w:left="720"/>
      <w:contextualSpacing/>
    </w:pPr>
  </w:style>
  <w:style w:type="paragraph" w:styleId="Header">
    <w:name w:val="header"/>
    <w:basedOn w:val="Normal"/>
    <w:link w:val="HeaderChar"/>
    <w:uiPriority w:val="99"/>
    <w:unhideWhenUsed/>
    <w:rsid w:val="00B56A73"/>
    <w:pPr>
      <w:tabs>
        <w:tab w:val="center" w:pos="4680"/>
        <w:tab w:val="right" w:pos="9360"/>
      </w:tabs>
    </w:pPr>
  </w:style>
  <w:style w:type="character" w:customStyle="1" w:styleId="HeaderChar">
    <w:name w:val="Header Char"/>
    <w:basedOn w:val="DefaultParagraphFont"/>
    <w:link w:val="Header"/>
    <w:uiPriority w:val="99"/>
    <w:rsid w:val="00B56A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43F6"/>
    <w:rPr>
      <w:sz w:val="16"/>
      <w:szCs w:val="16"/>
    </w:rPr>
  </w:style>
  <w:style w:type="paragraph" w:styleId="CommentText">
    <w:name w:val="annotation text"/>
    <w:basedOn w:val="Normal"/>
    <w:link w:val="CommentTextChar"/>
    <w:uiPriority w:val="99"/>
    <w:semiHidden/>
    <w:unhideWhenUsed/>
    <w:rsid w:val="003143F6"/>
    <w:rPr>
      <w:sz w:val="20"/>
      <w:szCs w:val="20"/>
    </w:rPr>
  </w:style>
  <w:style w:type="character" w:customStyle="1" w:styleId="CommentTextChar">
    <w:name w:val="Comment Text Char"/>
    <w:basedOn w:val="DefaultParagraphFont"/>
    <w:link w:val="CommentText"/>
    <w:uiPriority w:val="99"/>
    <w:semiHidden/>
    <w:rsid w:val="00314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3F6"/>
    <w:rPr>
      <w:b/>
      <w:bCs/>
    </w:rPr>
  </w:style>
  <w:style w:type="character" w:customStyle="1" w:styleId="CommentSubjectChar">
    <w:name w:val="Comment Subject Char"/>
    <w:basedOn w:val="CommentTextChar"/>
    <w:link w:val="CommentSubject"/>
    <w:uiPriority w:val="99"/>
    <w:semiHidden/>
    <w:rsid w:val="003143F6"/>
    <w:rPr>
      <w:rFonts w:ascii="Times New Roman" w:eastAsia="Times New Roman" w:hAnsi="Times New Roman" w:cs="Times New Roman"/>
      <w:b/>
      <w:bCs/>
      <w:sz w:val="20"/>
      <w:szCs w:val="20"/>
    </w:rPr>
  </w:style>
  <w:style w:type="paragraph" w:styleId="Revision">
    <w:name w:val="Revision"/>
    <w:hidden/>
    <w:uiPriority w:val="99"/>
    <w:semiHidden/>
    <w:rsid w:val="003143F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6B07"/>
    <w:pPr>
      <w:jc w:val="center"/>
    </w:pPr>
    <w:rPr>
      <w:b/>
      <w:bCs/>
    </w:rPr>
  </w:style>
  <w:style w:type="character" w:customStyle="1" w:styleId="TitleChar">
    <w:name w:val="Title Char"/>
    <w:basedOn w:val="DefaultParagraphFont"/>
    <w:link w:val="Title"/>
    <w:rsid w:val="00786B07"/>
    <w:rPr>
      <w:rFonts w:ascii="Times New Roman" w:eastAsia="Times New Roman" w:hAnsi="Times New Roman" w:cs="Times New Roman"/>
      <w:b/>
      <w:bCs/>
      <w:sz w:val="24"/>
      <w:szCs w:val="24"/>
    </w:rPr>
  </w:style>
  <w:style w:type="paragraph" w:styleId="Subtitle">
    <w:name w:val="Subtitle"/>
    <w:basedOn w:val="Normal"/>
    <w:link w:val="SubtitleChar"/>
    <w:qFormat/>
    <w:rsid w:val="00786B07"/>
    <w:pPr>
      <w:jc w:val="center"/>
    </w:pPr>
    <w:rPr>
      <w:b/>
      <w:bCs/>
    </w:rPr>
  </w:style>
  <w:style w:type="character" w:customStyle="1" w:styleId="SubtitleChar">
    <w:name w:val="Subtitle Char"/>
    <w:basedOn w:val="DefaultParagraphFont"/>
    <w:link w:val="Subtitle"/>
    <w:rsid w:val="00786B07"/>
    <w:rPr>
      <w:rFonts w:ascii="Times New Roman" w:eastAsia="Times New Roman" w:hAnsi="Times New Roman" w:cs="Times New Roman"/>
      <w:b/>
      <w:bCs/>
      <w:sz w:val="24"/>
      <w:szCs w:val="24"/>
    </w:rPr>
  </w:style>
  <w:style w:type="paragraph" w:styleId="NormalWeb">
    <w:name w:val="Normal (Web)"/>
    <w:basedOn w:val="Normal"/>
    <w:rsid w:val="00786B07"/>
    <w:pPr>
      <w:spacing w:before="100" w:beforeAutospacing="1" w:after="100" w:afterAutospacing="1"/>
    </w:pPr>
    <w:rPr>
      <w:rFonts w:ascii="Verdana" w:hAnsi="Verdana"/>
      <w:sz w:val="19"/>
      <w:szCs w:val="19"/>
    </w:rPr>
  </w:style>
  <w:style w:type="character" w:styleId="Hyperlink">
    <w:name w:val="Hyperlink"/>
    <w:basedOn w:val="DefaultParagraphFont"/>
    <w:rsid w:val="00786B07"/>
    <w:rPr>
      <w:color w:val="0000FF"/>
      <w:u w:val="single"/>
    </w:rPr>
  </w:style>
  <w:style w:type="paragraph" w:styleId="Footer">
    <w:name w:val="footer"/>
    <w:basedOn w:val="Normal"/>
    <w:link w:val="FooterChar"/>
    <w:rsid w:val="00786B07"/>
    <w:pPr>
      <w:tabs>
        <w:tab w:val="center" w:pos="4320"/>
        <w:tab w:val="right" w:pos="8640"/>
      </w:tabs>
    </w:pPr>
  </w:style>
  <w:style w:type="character" w:customStyle="1" w:styleId="FooterChar">
    <w:name w:val="Footer Char"/>
    <w:basedOn w:val="DefaultParagraphFont"/>
    <w:link w:val="Footer"/>
    <w:rsid w:val="00786B07"/>
    <w:rPr>
      <w:rFonts w:ascii="Times New Roman" w:eastAsia="Times New Roman" w:hAnsi="Times New Roman" w:cs="Times New Roman"/>
      <w:sz w:val="24"/>
      <w:szCs w:val="24"/>
    </w:rPr>
  </w:style>
  <w:style w:type="paragraph" w:styleId="ListParagraph">
    <w:name w:val="List Paragraph"/>
    <w:basedOn w:val="Normal"/>
    <w:uiPriority w:val="34"/>
    <w:qFormat/>
    <w:rsid w:val="00607A00"/>
    <w:pPr>
      <w:ind w:left="720"/>
      <w:contextualSpacing/>
    </w:pPr>
  </w:style>
  <w:style w:type="paragraph" w:styleId="Header">
    <w:name w:val="header"/>
    <w:basedOn w:val="Normal"/>
    <w:link w:val="HeaderChar"/>
    <w:uiPriority w:val="99"/>
    <w:unhideWhenUsed/>
    <w:rsid w:val="00B56A73"/>
    <w:pPr>
      <w:tabs>
        <w:tab w:val="center" w:pos="4680"/>
        <w:tab w:val="right" w:pos="9360"/>
      </w:tabs>
    </w:pPr>
  </w:style>
  <w:style w:type="character" w:customStyle="1" w:styleId="HeaderChar">
    <w:name w:val="Header Char"/>
    <w:basedOn w:val="DefaultParagraphFont"/>
    <w:link w:val="Header"/>
    <w:uiPriority w:val="99"/>
    <w:rsid w:val="00B56A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43F6"/>
    <w:rPr>
      <w:sz w:val="16"/>
      <w:szCs w:val="16"/>
    </w:rPr>
  </w:style>
  <w:style w:type="paragraph" w:styleId="CommentText">
    <w:name w:val="annotation text"/>
    <w:basedOn w:val="Normal"/>
    <w:link w:val="CommentTextChar"/>
    <w:uiPriority w:val="99"/>
    <w:semiHidden/>
    <w:unhideWhenUsed/>
    <w:rsid w:val="003143F6"/>
    <w:rPr>
      <w:sz w:val="20"/>
      <w:szCs w:val="20"/>
    </w:rPr>
  </w:style>
  <w:style w:type="character" w:customStyle="1" w:styleId="CommentTextChar">
    <w:name w:val="Comment Text Char"/>
    <w:basedOn w:val="DefaultParagraphFont"/>
    <w:link w:val="CommentText"/>
    <w:uiPriority w:val="99"/>
    <w:semiHidden/>
    <w:rsid w:val="00314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3F6"/>
    <w:rPr>
      <w:b/>
      <w:bCs/>
    </w:rPr>
  </w:style>
  <w:style w:type="character" w:customStyle="1" w:styleId="CommentSubjectChar">
    <w:name w:val="Comment Subject Char"/>
    <w:basedOn w:val="CommentTextChar"/>
    <w:link w:val="CommentSubject"/>
    <w:uiPriority w:val="99"/>
    <w:semiHidden/>
    <w:rsid w:val="003143F6"/>
    <w:rPr>
      <w:rFonts w:ascii="Times New Roman" w:eastAsia="Times New Roman" w:hAnsi="Times New Roman" w:cs="Times New Roman"/>
      <w:b/>
      <w:bCs/>
      <w:sz w:val="20"/>
      <w:szCs w:val="20"/>
    </w:rPr>
  </w:style>
  <w:style w:type="paragraph" w:styleId="Revision">
    <w:name w:val="Revision"/>
    <w:hidden/>
    <w:uiPriority w:val="99"/>
    <w:semiHidden/>
    <w:rsid w:val="003143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E403-9D4C-46FA-9B11-1702D9A0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Thies, Kate</dc:creator>
  <cp:lastModifiedBy>Denise Szelest</cp:lastModifiedBy>
  <cp:revision>7</cp:revision>
  <cp:lastPrinted>2016-08-10T16:21:00Z</cp:lastPrinted>
  <dcterms:created xsi:type="dcterms:W3CDTF">2016-08-10T18:14:00Z</dcterms:created>
  <dcterms:modified xsi:type="dcterms:W3CDTF">2016-08-10T18:35:00Z</dcterms:modified>
</cp:coreProperties>
</file>