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48" w:rsidRPr="00FB2C48" w:rsidRDefault="00FB2C48" w:rsidP="00FB2C48">
      <w:pPr>
        <w:ind w:left="720"/>
        <w:jc w:val="right"/>
        <w:rPr>
          <w:rFonts w:ascii="Arial" w:hAnsi="Arial" w:cs="Arial"/>
          <w:b/>
          <w:bCs/>
        </w:rPr>
      </w:pPr>
    </w:p>
    <w:p w:rsidR="00FB2C48" w:rsidRPr="00FB2C48" w:rsidRDefault="00FB2C48" w:rsidP="00FB2C48">
      <w:pPr>
        <w:ind w:left="720"/>
        <w:jc w:val="right"/>
        <w:rPr>
          <w:rFonts w:ascii="Arial" w:hAnsi="Arial" w:cs="Arial"/>
          <w:b/>
          <w:bCs/>
          <w:sz w:val="20"/>
          <w:szCs w:val="20"/>
        </w:rPr>
      </w:pPr>
      <w:r w:rsidRPr="00FB2C48">
        <w:rPr>
          <w:rFonts w:ascii="Arial" w:hAnsi="Arial" w:cs="Arial"/>
          <w:b/>
          <w:bCs/>
          <w:sz w:val="20"/>
          <w:szCs w:val="20"/>
        </w:rPr>
        <w:t>Senate Bill 1112-</w:t>
      </w:r>
      <w:r w:rsidRPr="00FB2C48">
        <w:rPr>
          <w:rFonts w:ascii="Arial" w:hAnsi="Arial" w:cs="Arial"/>
          <w:b/>
          <w:bCs/>
          <w:sz w:val="20"/>
          <w:szCs w:val="20"/>
        </w:rPr>
        <w:t>05</w:t>
      </w:r>
    </w:p>
    <w:p w:rsidR="00FB2C48" w:rsidRPr="00FB2C48" w:rsidRDefault="00FB2C48" w:rsidP="00FB2C48">
      <w:pPr>
        <w:ind w:left="720"/>
        <w:jc w:val="right"/>
        <w:rPr>
          <w:rFonts w:ascii="Arial" w:hAnsi="Arial" w:cs="Arial"/>
          <w:b/>
          <w:bCs/>
        </w:rPr>
      </w:pPr>
    </w:p>
    <w:p w:rsidR="00FB2C48" w:rsidRDefault="00FB2C48" w:rsidP="00FB2C48">
      <w:pPr>
        <w:jc w:val="center"/>
        <w:rPr>
          <w:rFonts w:ascii="Arial" w:hAnsi="Arial" w:cs="Arial"/>
          <w:b/>
        </w:rPr>
      </w:pPr>
    </w:p>
    <w:p w:rsidR="00FB2C48" w:rsidRDefault="00FB2C48" w:rsidP="00FB2C48">
      <w:pPr>
        <w:jc w:val="center"/>
        <w:rPr>
          <w:rFonts w:ascii="Arial" w:hAnsi="Arial" w:cs="Arial"/>
          <w:b/>
        </w:rPr>
      </w:pPr>
    </w:p>
    <w:p w:rsidR="00FB2C48" w:rsidRPr="00FB2C48" w:rsidRDefault="00FB2C48" w:rsidP="00FB2C48">
      <w:pPr>
        <w:jc w:val="center"/>
        <w:rPr>
          <w:rFonts w:ascii="Arial" w:hAnsi="Arial" w:cs="Arial"/>
          <w:b/>
        </w:rPr>
      </w:pPr>
      <w:bookmarkStart w:id="0" w:name="_GoBack"/>
      <w:bookmarkEnd w:id="0"/>
      <w:r w:rsidRPr="00FB2C48">
        <w:rPr>
          <w:rFonts w:ascii="Arial" w:hAnsi="Arial" w:cs="Arial"/>
          <w:b/>
        </w:rPr>
        <w:t>UNIVERSITY SENATE</w:t>
      </w:r>
    </w:p>
    <w:p w:rsidR="00FB2C48" w:rsidRPr="00FB2C48" w:rsidRDefault="00FB2C48" w:rsidP="00FB2C48">
      <w:pPr>
        <w:jc w:val="center"/>
        <w:rPr>
          <w:rFonts w:ascii="Arial" w:hAnsi="Arial" w:cs="Arial"/>
        </w:rPr>
      </w:pPr>
    </w:p>
    <w:p w:rsidR="00FB2C48" w:rsidRPr="00FB2C48" w:rsidRDefault="00FB2C48" w:rsidP="00FB2C48">
      <w:pPr>
        <w:jc w:val="center"/>
        <w:rPr>
          <w:rFonts w:ascii="Arial" w:hAnsi="Arial" w:cs="Arial"/>
        </w:rPr>
      </w:pPr>
      <w:r w:rsidRPr="00FB2C48">
        <w:rPr>
          <w:rFonts w:ascii="Arial" w:hAnsi="Arial" w:cs="Arial"/>
        </w:rPr>
        <w:t>UNVERSITY AT ALBANY</w:t>
      </w:r>
    </w:p>
    <w:p w:rsidR="00FB2C48" w:rsidRPr="00FB2C48" w:rsidRDefault="00FB2C48" w:rsidP="00FB2C48">
      <w:pPr>
        <w:jc w:val="center"/>
        <w:rPr>
          <w:rFonts w:ascii="Arial" w:hAnsi="Arial" w:cs="Arial"/>
        </w:rPr>
      </w:pPr>
      <w:r w:rsidRPr="00FB2C48">
        <w:rPr>
          <w:rFonts w:ascii="Arial" w:hAnsi="Arial" w:cs="Arial"/>
        </w:rPr>
        <w:t>STATE UNIVERSITY OF NEW YORK</w:t>
      </w:r>
    </w:p>
    <w:p w:rsidR="00FB2C48" w:rsidRPr="00FB2C48" w:rsidRDefault="00FB2C48" w:rsidP="00FB2C48">
      <w:pPr>
        <w:jc w:val="center"/>
        <w:rPr>
          <w:rFonts w:ascii="Arial" w:hAnsi="Arial" w:cs="Arial"/>
        </w:rPr>
      </w:pPr>
    </w:p>
    <w:p w:rsidR="00FB2C48" w:rsidRPr="00FB2C48" w:rsidRDefault="00FB2C48" w:rsidP="00FB2C48">
      <w:pPr>
        <w:jc w:val="center"/>
        <w:rPr>
          <w:rFonts w:ascii="Arial" w:hAnsi="Arial" w:cs="Arial"/>
        </w:rPr>
      </w:pPr>
    </w:p>
    <w:p w:rsidR="00FB2C48" w:rsidRPr="00FB2C48" w:rsidRDefault="00FB2C48" w:rsidP="00FB2C48">
      <w:pPr>
        <w:jc w:val="center"/>
        <w:rPr>
          <w:rFonts w:ascii="Arial" w:hAnsi="Arial" w:cs="Arial"/>
        </w:rPr>
      </w:pPr>
    </w:p>
    <w:p w:rsidR="00FB2C48" w:rsidRPr="00FB2C48" w:rsidRDefault="00FB2C48" w:rsidP="00FB2C48">
      <w:pPr>
        <w:rPr>
          <w:rFonts w:ascii="Arial" w:hAnsi="Arial" w:cs="Arial"/>
        </w:rPr>
      </w:pPr>
      <w:r w:rsidRPr="00FB2C48">
        <w:rPr>
          <w:rFonts w:ascii="Arial" w:hAnsi="Arial" w:cs="Arial"/>
        </w:rPr>
        <w:t>Introduced by:</w:t>
      </w:r>
      <w:r w:rsidRPr="00FB2C48">
        <w:rPr>
          <w:rFonts w:ascii="Arial" w:hAnsi="Arial" w:cs="Arial"/>
        </w:rPr>
        <w:tab/>
      </w:r>
      <w:r>
        <w:rPr>
          <w:rFonts w:ascii="Arial" w:hAnsi="Arial" w:cs="Arial"/>
        </w:rPr>
        <w:tab/>
        <w:t>UAC</w:t>
      </w:r>
      <w:r w:rsidRPr="00FB2C48">
        <w:rPr>
          <w:rFonts w:ascii="Arial" w:hAnsi="Arial" w:cs="Arial"/>
        </w:rPr>
        <w:tab/>
      </w:r>
    </w:p>
    <w:p w:rsidR="00FB2C48" w:rsidRPr="00FB2C48" w:rsidRDefault="00FB2C48" w:rsidP="00FB2C48">
      <w:pPr>
        <w:rPr>
          <w:rFonts w:ascii="Arial" w:hAnsi="Arial" w:cs="Arial"/>
        </w:rPr>
      </w:pPr>
    </w:p>
    <w:p w:rsidR="00FB2C48" w:rsidRPr="00FB2C48" w:rsidRDefault="00FB2C48" w:rsidP="00FB2C48">
      <w:pPr>
        <w:rPr>
          <w:rFonts w:ascii="Arial" w:hAnsi="Arial" w:cs="Arial"/>
        </w:rPr>
      </w:pPr>
    </w:p>
    <w:p w:rsidR="00FB2C48" w:rsidRPr="00FB2C48" w:rsidRDefault="00FB2C48" w:rsidP="00FB2C48">
      <w:pPr>
        <w:rPr>
          <w:rFonts w:ascii="Arial" w:hAnsi="Arial" w:cs="Arial"/>
        </w:rPr>
      </w:pPr>
      <w:r w:rsidRPr="00FB2C48">
        <w:rPr>
          <w:rFonts w:ascii="Arial" w:hAnsi="Arial" w:cs="Arial"/>
        </w:rPr>
        <w:t>Date:</w:t>
      </w:r>
      <w:r w:rsidRPr="00FB2C48">
        <w:rPr>
          <w:rFonts w:ascii="Arial" w:hAnsi="Arial" w:cs="Arial"/>
        </w:rPr>
        <w:tab/>
      </w:r>
      <w:r w:rsidRPr="00FB2C48">
        <w:rPr>
          <w:rFonts w:ascii="Arial" w:hAnsi="Arial" w:cs="Arial"/>
        </w:rPr>
        <w:tab/>
      </w:r>
      <w:r w:rsidRPr="00FB2C48">
        <w:rPr>
          <w:rFonts w:ascii="Arial" w:hAnsi="Arial" w:cs="Arial"/>
        </w:rPr>
        <w:tab/>
      </w:r>
      <w:r>
        <w:rPr>
          <w:rFonts w:ascii="Arial" w:hAnsi="Arial" w:cs="Arial"/>
        </w:rPr>
        <w:t>October 24, 2011</w:t>
      </w:r>
    </w:p>
    <w:p w:rsidR="00FB2C48" w:rsidRPr="00FB2C48" w:rsidRDefault="00FB2C48" w:rsidP="00FB2C48">
      <w:pPr>
        <w:rPr>
          <w:rFonts w:ascii="Arial" w:hAnsi="Arial" w:cs="Arial"/>
        </w:rPr>
      </w:pPr>
    </w:p>
    <w:p w:rsidR="00FB2C48" w:rsidRPr="00FB2C48" w:rsidRDefault="00FB2C48" w:rsidP="00FB2C48">
      <w:pPr>
        <w:ind w:left="720"/>
        <w:jc w:val="center"/>
        <w:rPr>
          <w:rFonts w:ascii="Arial" w:hAnsi="Arial" w:cs="Arial"/>
          <w:b/>
          <w:bCs/>
        </w:rPr>
      </w:pPr>
    </w:p>
    <w:p w:rsidR="00FB2C48" w:rsidRPr="00FB2C48" w:rsidRDefault="00FB2C48" w:rsidP="00FB2C48">
      <w:pPr>
        <w:jc w:val="center"/>
        <w:rPr>
          <w:rFonts w:ascii="Arial" w:hAnsi="Arial" w:cs="Arial"/>
          <w:b/>
        </w:rPr>
      </w:pPr>
      <w:r>
        <w:rPr>
          <w:rFonts w:ascii="Arial" w:hAnsi="Arial" w:cs="Arial"/>
          <w:b/>
        </w:rPr>
        <w:t>DEGREE REQUIREMENTS FOR THE MAJOR IN ACCOUNTING</w:t>
      </w:r>
    </w:p>
    <w:p w:rsidR="00FB2C48" w:rsidRPr="00FB2C48" w:rsidRDefault="00FB2C48" w:rsidP="00FB2C48">
      <w:pPr>
        <w:jc w:val="center"/>
        <w:rPr>
          <w:rFonts w:ascii="Arial" w:hAnsi="Arial" w:cs="Arial"/>
          <w:b/>
        </w:rPr>
      </w:pPr>
    </w:p>
    <w:p w:rsidR="00FB2C48" w:rsidRPr="00FB2C48" w:rsidRDefault="00FB2C48" w:rsidP="00FB2C48">
      <w:pPr>
        <w:rPr>
          <w:rFonts w:ascii="Arial" w:hAnsi="Arial" w:cs="Arial"/>
        </w:rPr>
      </w:pPr>
      <w:r w:rsidRPr="00FB2C48">
        <w:rPr>
          <w:rFonts w:ascii="Arial" w:hAnsi="Arial" w:cs="Arial"/>
        </w:rPr>
        <w:t>IT IS HEREBY PROPOSED THAT THE FOLLOWING BE ADOPTED:</w:t>
      </w:r>
    </w:p>
    <w:p w:rsidR="00FB2C48" w:rsidRPr="00FB2C48" w:rsidRDefault="00FB2C48" w:rsidP="00FB2C48">
      <w:pPr>
        <w:rPr>
          <w:rFonts w:ascii="Arial" w:hAnsi="Arial" w:cs="Arial"/>
        </w:rPr>
      </w:pPr>
    </w:p>
    <w:p w:rsidR="00FB2C48" w:rsidRPr="00FB2C48" w:rsidRDefault="00FB2C48" w:rsidP="00FB2C48">
      <w:pPr>
        <w:ind w:left="720"/>
        <w:rPr>
          <w:rFonts w:ascii="Arial" w:hAnsi="Arial" w:cs="Arial"/>
        </w:rPr>
      </w:pPr>
    </w:p>
    <w:p w:rsidR="00FB2C48" w:rsidRPr="00FB2C48" w:rsidRDefault="00FB2C48" w:rsidP="00FB2C48">
      <w:pPr>
        <w:numPr>
          <w:ilvl w:val="0"/>
          <w:numId w:val="1"/>
        </w:numPr>
        <w:rPr>
          <w:rFonts w:ascii="Arial" w:hAnsi="Arial" w:cs="Arial"/>
        </w:rPr>
      </w:pPr>
      <w:r w:rsidRPr="00FB2C48">
        <w:rPr>
          <w:rFonts w:ascii="Arial" w:hAnsi="Arial" w:cs="Arial"/>
        </w:rPr>
        <w:t xml:space="preserve">That this takes effect for the </w:t>
      </w:r>
      <w:proofErr w:type="gramStart"/>
      <w:r>
        <w:rPr>
          <w:rFonts w:ascii="Arial" w:hAnsi="Arial" w:cs="Arial"/>
        </w:rPr>
        <w:t>Fall</w:t>
      </w:r>
      <w:proofErr w:type="gramEnd"/>
      <w:r>
        <w:rPr>
          <w:rFonts w:ascii="Arial" w:hAnsi="Arial" w:cs="Arial"/>
        </w:rPr>
        <w:t xml:space="preserve"> 2011</w:t>
      </w:r>
      <w:r w:rsidRPr="00FB2C48">
        <w:rPr>
          <w:rFonts w:ascii="Arial" w:hAnsi="Arial" w:cs="Arial"/>
        </w:rPr>
        <w:t xml:space="preserve"> semester.</w:t>
      </w:r>
    </w:p>
    <w:p w:rsidR="00FB2C48" w:rsidRPr="00FB2C48" w:rsidRDefault="00FB2C48" w:rsidP="00FB2C48">
      <w:pPr>
        <w:ind w:left="720"/>
        <w:rPr>
          <w:rFonts w:ascii="Arial" w:hAnsi="Arial" w:cs="Arial"/>
        </w:rPr>
      </w:pPr>
    </w:p>
    <w:p w:rsidR="00FB2C48" w:rsidRPr="00FB2C48" w:rsidRDefault="00FB2C48" w:rsidP="00FB2C48">
      <w:pPr>
        <w:numPr>
          <w:ilvl w:val="0"/>
          <w:numId w:val="1"/>
        </w:numPr>
        <w:rPr>
          <w:rFonts w:ascii="Arial" w:hAnsi="Arial" w:cs="Arial"/>
        </w:rPr>
      </w:pPr>
      <w:r w:rsidRPr="00FB2C48">
        <w:rPr>
          <w:rFonts w:ascii="Arial" w:hAnsi="Arial" w:cs="Arial"/>
        </w:rPr>
        <w:t>That this proposal be forwarded to President George M. Philip for approval.</w:t>
      </w:r>
    </w:p>
    <w:p w:rsidR="00FB2C48" w:rsidRPr="00FB2C48" w:rsidRDefault="00FB2C48">
      <w:pPr>
        <w:rPr>
          <w:rFonts w:ascii="Arial" w:eastAsia="Times New Roman" w:hAnsi="Arial" w:cs="Arial"/>
          <w:b/>
          <w:bCs/>
          <w:color w:val="57357E"/>
        </w:rPr>
      </w:pPr>
    </w:p>
    <w:p w:rsidR="00FB2C48" w:rsidRPr="00FB2C48" w:rsidRDefault="00FB2C48">
      <w:pPr>
        <w:rPr>
          <w:rFonts w:ascii="Arial" w:eastAsia="Times New Roman" w:hAnsi="Arial" w:cs="Arial"/>
          <w:b/>
          <w:bCs/>
          <w:color w:val="57357E"/>
        </w:rPr>
      </w:pPr>
      <w:r w:rsidRPr="00FB2C48">
        <w:rPr>
          <w:rFonts w:ascii="Arial" w:eastAsia="Times New Roman" w:hAnsi="Arial" w:cs="Arial"/>
          <w:b/>
          <w:bCs/>
          <w:color w:val="57357E"/>
        </w:rPr>
        <w:br w:type="page"/>
      </w:r>
    </w:p>
    <w:p w:rsidR="00037611" w:rsidRPr="00037611" w:rsidRDefault="00037611" w:rsidP="00037611">
      <w:pPr>
        <w:spacing w:before="100" w:beforeAutospacing="1" w:after="100" w:afterAutospacing="1" w:line="309" w:lineRule="atLeast"/>
        <w:outlineLvl w:val="4"/>
        <w:rPr>
          <w:rFonts w:ascii="Arial" w:eastAsia="Times New Roman" w:hAnsi="Arial" w:cs="Arial"/>
          <w:b/>
          <w:bCs/>
          <w:color w:val="57357E"/>
          <w:sz w:val="20"/>
          <w:szCs w:val="24"/>
        </w:rPr>
      </w:pPr>
      <w:r w:rsidRPr="00037611">
        <w:rPr>
          <w:rFonts w:ascii="Arial" w:eastAsia="Times New Roman" w:hAnsi="Arial" w:cs="Arial"/>
          <w:b/>
          <w:bCs/>
          <w:color w:val="57357E"/>
          <w:sz w:val="20"/>
          <w:szCs w:val="24"/>
        </w:rPr>
        <w:lastRenderedPageBreak/>
        <w:t>Degree Requirements for the Major in Accounting</w:t>
      </w:r>
    </w:p>
    <w:tbl>
      <w:tblPr>
        <w:tblW w:w="49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8732"/>
        <w:gridCol w:w="517"/>
      </w:tblGrid>
      <w:tr w:rsidR="00037611" w:rsidRPr="00037611" w:rsidTr="00037611">
        <w:trPr>
          <w:tblHeader/>
          <w:tblCellSpacing w:w="6"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b/>
                <w:bCs/>
                <w:color w:val="636363"/>
                <w:sz w:val="20"/>
              </w:rPr>
              <w:t xml:space="preserve">Required Liberal Arts &amp; Sciences Courses </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*A ECO 110 Principles of Economics I: Microeconomics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*A ECO 111 Principles of Economics II: Macroeconomics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Writing (A lower level writing intensive course)</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*A PSY 101 Introduction to Psychology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 xml:space="preserve">*A SOC 115 Introduction to Sociology </w:t>
            </w:r>
            <w:r w:rsidRPr="00037611">
              <w:rPr>
                <w:rFonts w:ascii="Arial" w:eastAsia="Times New Roman" w:hAnsi="Arial" w:cs="Arial"/>
                <w:i/>
                <w:iCs/>
                <w:color w:val="636363"/>
                <w:sz w:val="20"/>
              </w:rPr>
              <w:t>or</w:t>
            </w:r>
            <w:r w:rsidRPr="00037611">
              <w:rPr>
                <w:rFonts w:ascii="Arial" w:eastAsia="Times New Roman" w:hAnsi="Arial" w:cs="Arial"/>
                <w:i/>
                <w:iCs/>
                <w:color w:val="636363"/>
                <w:sz w:val="20"/>
                <w:szCs w:val="31"/>
              </w:rPr>
              <w:br/>
            </w:r>
            <w:r w:rsidRPr="00037611">
              <w:rPr>
                <w:rFonts w:ascii="Arial" w:eastAsia="Times New Roman" w:hAnsi="Arial" w:cs="Arial"/>
                <w:color w:val="636363"/>
                <w:sz w:val="20"/>
                <w:szCs w:val="31"/>
              </w:rPr>
              <w:t>*A ANT 108 Introduction to Cultural Anthropology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 xml:space="preserve">Economics elective 300 level or above where A ECO 110 and 111 are prerequisites, excluding A ECO 320, 496, and 497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A MAT 106, 111, 112, 118, or equivalent Calculus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 xml:space="preserve">B MGT 341 Behavioral Foundations of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center"/>
              <w:rPr>
                <w:rFonts w:ascii="Arial" w:eastAsia="Times New Roman" w:hAnsi="Arial" w:cs="Arial"/>
                <w:color w:val="636363"/>
                <w:sz w:val="20"/>
                <w:szCs w:val="31"/>
              </w:rPr>
            </w:pP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BUS 300 Accounting and Communications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1</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b/>
                <w:bCs/>
                <w:color w:val="636363"/>
                <w:sz w:val="20"/>
                <w:u w:val="single"/>
              </w:rPr>
              <w:t>2</w:t>
            </w:r>
            <w:r>
              <w:rPr>
                <w:rFonts w:ascii="Arial" w:eastAsia="Times New Roman" w:hAnsi="Arial" w:cs="Arial"/>
                <w:b/>
                <w:bCs/>
                <w:color w:val="636363"/>
                <w:sz w:val="20"/>
                <w:u w:val="single"/>
              </w:rPr>
              <w:t>5</w:t>
            </w:r>
            <w:r w:rsidRPr="00037611">
              <w:rPr>
                <w:rFonts w:ascii="Arial" w:eastAsia="Times New Roman" w:hAnsi="Arial" w:cs="Arial"/>
                <w:color w:val="636363"/>
                <w:sz w:val="20"/>
                <w:szCs w:val="31"/>
              </w:rPr>
              <w:t xml:space="preserve"> </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b/>
                <w:bCs/>
                <w:color w:val="636363"/>
                <w:sz w:val="20"/>
              </w:rPr>
              <w:t>General Education Requirements:</w:t>
            </w:r>
            <w:r w:rsidRPr="00037611">
              <w:rPr>
                <w:rFonts w:ascii="Arial" w:eastAsia="Times New Roman" w:hAnsi="Arial" w:cs="Arial"/>
                <w:color w:val="636363"/>
                <w:sz w:val="20"/>
                <w:szCs w:val="31"/>
              </w:rPr>
              <w:t xml:space="preserve"> as needed to fulfill University General Education Program requirements, </w:t>
            </w:r>
            <w:r w:rsidRPr="00037611">
              <w:rPr>
                <w:rFonts w:ascii="Arial" w:eastAsia="Times New Roman" w:hAnsi="Arial" w:cs="Arial"/>
                <w:i/>
                <w:iCs/>
                <w:color w:val="636363"/>
                <w:sz w:val="20"/>
              </w:rPr>
              <w:t>minimum 30 credits</w:t>
            </w:r>
            <w:r w:rsidRPr="00037611">
              <w:rPr>
                <w:rFonts w:ascii="Arial" w:eastAsia="Times New Roman" w:hAnsi="Arial" w:cs="Arial"/>
                <w:color w:val="636363"/>
                <w:sz w:val="20"/>
                <w:szCs w:val="31"/>
              </w:rPr>
              <w:t xml:space="preserve">; some credits may be filled by required Liberal Arts &amp; Sciences or Business courses. (For clarification, see the General Education section of this Bulletin.)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 </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b/>
                <w:bCs/>
                <w:color w:val="636363"/>
                <w:sz w:val="20"/>
              </w:rPr>
              <w:t>Other Liberal Arts &amp; Sciences elective credit:</w:t>
            </w:r>
            <w:r w:rsidRPr="00037611">
              <w:rPr>
                <w:rFonts w:ascii="Arial" w:eastAsia="Times New Roman" w:hAnsi="Arial" w:cs="Arial"/>
                <w:color w:val="636363"/>
                <w:sz w:val="20"/>
                <w:szCs w:val="31"/>
              </w:rPr>
              <w:t xml:space="preserve"> total credits will vary based on courses selected for General Education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 </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b/>
                <w:bCs/>
                <w:color w:val="636363"/>
                <w:sz w:val="20"/>
              </w:rPr>
              <w:t>Total Liberal Arts &amp; Sciences credits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b/>
                <w:bCs/>
                <w:color w:val="636363"/>
                <w:sz w:val="20"/>
                <w:u w:val="single"/>
              </w:rPr>
              <w:t>60</w:t>
            </w:r>
          </w:p>
        </w:tc>
      </w:tr>
      <w:tr w:rsidR="00037611" w:rsidRPr="00037611" w:rsidTr="00037611">
        <w:trPr>
          <w:tblCellSpacing w:w="6"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 </w:t>
            </w:r>
          </w:p>
        </w:tc>
      </w:tr>
      <w:tr w:rsidR="00037611" w:rsidRPr="00037611" w:rsidTr="00037611">
        <w:trPr>
          <w:tblCellSpacing w:w="6"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b/>
                <w:bCs/>
                <w:color w:val="636363"/>
                <w:sz w:val="20"/>
              </w:rPr>
              <w:t>Business and Accounting Requirements</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ACC 211 Financial Accounting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ACC 222 Cost Accounting Systems For Managerial Decisions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ACC 311 Financial Accounting Theory I</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ACC 312 Financial Accounting Theory II</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ACC 381 Financial Information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ACC 411 Financial Accounting Theory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ACC 440 Survey of Taxation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ACC 461 Auditing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LAW 220 Business Law</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ITM 215 Computer Applications in Business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*A MAT 108 or A ECO 320 Statistics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FIN 300 Financial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3133E9">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lastRenderedPageBreak/>
              <w:t>B FIN 301 Corporate Financial Policy and Strategy</w:t>
            </w:r>
            <w:r>
              <w:rPr>
                <w:rFonts w:ascii="Arial" w:eastAsia="Times New Roman" w:hAnsi="Arial" w:cs="Arial"/>
                <w:color w:val="636363"/>
                <w:sz w:val="20"/>
                <w:szCs w:val="31"/>
              </w:rPr>
              <w:t xml:space="preserve"> or </w:t>
            </w:r>
            <w:r w:rsidR="003133E9">
              <w:rPr>
                <w:rFonts w:ascii="Arial" w:eastAsia="Times New Roman" w:hAnsi="Arial" w:cs="Arial"/>
                <w:color w:val="636363"/>
                <w:sz w:val="20"/>
                <w:szCs w:val="31"/>
              </w:rPr>
              <w:t>B FIN 375 Money and Capital Markets or a</w:t>
            </w:r>
            <w:r w:rsidR="00694A5D">
              <w:rPr>
                <w:rFonts w:ascii="Arial" w:eastAsia="Times New Roman" w:hAnsi="Arial" w:cs="Arial"/>
                <w:color w:val="636363"/>
                <w:sz w:val="20"/>
                <w:szCs w:val="31"/>
              </w:rPr>
              <w:t xml:space="preserve"> course in</w:t>
            </w:r>
            <w:r>
              <w:rPr>
                <w:rFonts w:ascii="Arial" w:eastAsia="Times New Roman" w:hAnsi="Arial" w:cs="Arial"/>
                <w:color w:val="636363"/>
                <w:sz w:val="20"/>
                <w:szCs w:val="31"/>
              </w:rPr>
              <w:t xml:space="preserve"> </w:t>
            </w:r>
            <w:r w:rsidR="00694A5D">
              <w:rPr>
                <w:rFonts w:ascii="Arial" w:eastAsia="Times New Roman" w:hAnsi="Arial" w:cs="Arial"/>
                <w:color w:val="636363"/>
                <w:sz w:val="20"/>
                <w:szCs w:val="31"/>
              </w:rPr>
              <w:t>money and banking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LAW 321 Law of Business Organization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MKT 310 Marketing Principles and Policies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Pr>
                <w:rFonts w:ascii="Arial" w:eastAsia="Times New Roman" w:hAnsi="Arial" w:cs="Arial"/>
                <w:color w:val="636363"/>
                <w:sz w:val="20"/>
                <w:szCs w:val="31"/>
              </w:rPr>
              <w:t>B ITM 33</w:t>
            </w:r>
            <w:r w:rsidRPr="00037611">
              <w:rPr>
                <w:rFonts w:ascii="Arial" w:eastAsia="Times New Roman" w:hAnsi="Arial" w:cs="Arial"/>
                <w:color w:val="636363"/>
                <w:sz w:val="20"/>
                <w:szCs w:val="31"/>
              </w:rPr>
              <w:t xml:space="preserve">0 </w:t>
            </w:r>
            <w:r>
              <w:rPr>
                <w:rFonts w:ascii="Arial" w:eastAsia="Times New Roman" w:hAnsi="Arial" w:cs="Arial"/>
                <w:color w:val="636363"/>
                <w:sz w:val="20"/>
                <w:szCs w:val="31"/>
              </w:rPr>
              <w:t>Business Information Systems &amp; Technologies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color w:val="636363"/>
                <w:sz w:val="20"/>
                <w:szCs w:val="31"/>
              </w:rPr>
              <w:t>B MGT 481W Strategic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3</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b/>
                <w:bCs/>
                <w:color w:val="636363"/>
                <w:sz w:val="20"/>
              </w:rPr>
              <w:t>Total Business and Accounting Requirement Credits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51</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rPr>
                <w:rFonts w:ascii="Arial" w:eastAsia="Times New Roman" w:hAnsi="Arial" w:cs="Arial"/>
                <w:color w:val="636363"/>
                <w:sz w:val="20"/>
                <w:szCs w:val="31"/>
              </w:rPr>
            </w:pPr>
            <w:r w:rsidRPr="00037611">
              <w:rPr>
                <w:rFonts w:ascii="Arial" w:eastAsia="Times New Roman" w:hAnsi="Arial" w:cs="Arial"/>
                <w:b/>
                <w:bCs/>
                <w:color w:val="636363"/>
                <w:sz w:val="20"/>
              </w:rPr>
              <w:t>Additional Business or Liberal Arts &amp; Sciences Elective Credits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color w:val="636363"/>
                <w:sz w:val="20"/>
                <w:szCs w:val="31"/>
              </w:rPr>
              <w:t>9</w:t>
            </w:r>
          </w:p>
        </w:tc>
      </w:tr>
      <w:tr w:rsidR="00037611" w:rsidRPr="00037611" w:rsidTr="0003761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center"/>
              <w:rPr>
                <w:rFonts w:ascii="Arial" w:eastAsia="Times New Roman" w:hAnsi="Arial" w:cs="Arial"/>
                <w:color w:val="636363"/>
                <w:sz w:val="20"/>
                <w:szCs w:val="31"/>
              </w:rPr>
            </w:pPr>
            <w:r w:rsidRPr="00037611">
              <w:rPr>
                <w:rFonts w:ascii="Arial" w:eastAsia="Times New Roman" w:hAnsi="Arial" w:cs="Arial"/>
                <w:b/>
                <w:bCs/>
                <w:color w:val="636363"/>
                <w:sz w:val="20"/>
              </w:rPr>
              <w:t>Total Graduation Credits (minimum)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11" w:rsidRPr="00037611" w:rsidRDefault="00037611" w:rsidP="00037611">
            <w:pPr>
              <w:spacing w:line="309" w:lineRule="atLeast"/>
              <w:jc w:val="right"/>
              <w:rPr>
                <w:rFonts w:ascii="Arial" w:eastAsia="Times New Roman" w:hAnsi="Arial" w:cs="Arial"/>
                <w:color w:val="636363"/>
                <w:sz w:val="20"/>
                <w:szCs w:val="31"/>
              </w:rPr>
            </w:pPr>
            <w:r w:rsidRPr="00037611">
              <w:rPr>
                <w:rFonts w:ascii="Arial" w:eastAsia="Times New Roman" w:hAnsi="Arial" w:cs="Arial"/>
                <w:b/>
                <w:bCs/>
                <w:color w:val="636363"/>
                <w:sz w:val="20"/>
                <w:u w:val="single"/>
              </w:rPr>
              <w:t>120</w:t>
            </w:r>
            <w:r w:rsidRPr="00037611">
              <w:rPr>
                <w:rFonts w:ascii="Arial" w:eastAsia="Times New Roman" w:hAnsi="Arial" w:cs="Arial"/>
                <w:b/>
                <w:bCs/>
                <w:i/>
                <w:iCs/>
                <w:color w:val="636363"/>
                <w:sz w:val="20"/>
                <w:u w:val="single"/>
              </w:rPr>
              <w:t>#</w:t>
            </w:r>
          </w:p>
        </w:tc>
      </w:tr>
    </w:tbl>
    <w:p w:rsidR="00037611" w:rsidRPr="00037611" w:rsidRDefault="00037611" w:rsidP="00037611">
      <w:pPr>
        <w:spacing w:after="206" w:line="360" w:lineRule="atLeast"/>
        <w:rPr>
          <w:rFonts w:ascii="Arial" w:eastAsia="Times New Roman" w:hAnsi="Arial" w:cs="Arial"/>
          <w:color w:val="636363"/>
          <w:sz w:val="16"/>
          <w:szCs w:val="18"/>
        </w:rPr>
      </w:pPr>
      <w:r w:rsidRPr="00037611">
        <w:rPr>
          <w:rFonts w:ascii="Arial" w:eastAsia="Times New Roman" w:hAnsi="Arial" w:cs="Arial"/>
          <w:color w:val="636363"/>
          <w:sz w:val="16"/>
          <w:szCs w:val="18"/>
        </w:rPr>
        <w:t>*</w:t>
      </w:r>
      <w:r w:rsidRPr="00037611">
        <w:rPr>
          <w:rFonts w:ascii="Arial" w:eastAsia="Times New Roman" w:hAnsi="Arial" w:cs="Arial"/>
          <w:i/>
          <w:iCs/>
          <w:color w:val="636363"/>
          <w:sz w:val="16"/>
        </w:rPr>
        <w:t>These are Admission Core Course Requirements (see above).</w:t>
      </w:r>
    </w:p>
    <w:p w:rsidR="00037611" w:rsidRPr="00037611" w:rsidRDefault="00037611" w:rsidP="00037611">
      <w:pPr>
        <w:spacing w:after="206" w:line="360" w:lineRule="atLeast"/>
        <w:rPr>
          <w:rFonts w:ascii="Arial" w:eastAsia="Times New Roman" w:hAnsi="Arial" w:cs="Arial"/>
          <w:color w:val="636363"/>
          <w:sz w:val="16"/>
          <w:szCs w:val="18"/>
        </w:rPr>
      </w:pPr>
      <w:r w:rsidRPr="00037611">
        <w:rPr>
          <w:rFonts w:ascii="Arial" w:eastAsia="Times New Roman" w:hAnsi="Arial" w:cs="Arial"/>
          <w:i/>
          <w:iCs/>
          <w:color w:val="636363"/>
          <w:sz w:val="16"/>
        </w:rPr>
        <w:t>NOTE:</w:t>
      </w:r>
      <w:r w:rsidRPr="00037611">
        <w:rPr>
          <w:rFonts w:ascii="Arial" w:eastAsia="Times New Roman" w:hAnsi="Arial" w:cs="Arial"/>
          <w:color w:val="636363"/>
          <w:sz w:val="16"/>
          <w:szCs w:val="18"/>
        </w:rPr>
        <w:t xml:space="preserve"> The following courses are not acceptable toward the CPA exam requirements: physical education courses; health courses; most Information Studies courses; School of Education courses; and courses not classified by the School of Business as liberal arts and sciences.</w:t>
      </w:r>
    </w:p>
    <w:p w:rsidR="00037611" w:rsidRPr="00037611" w:rsidRDefault="00037611" w:rsidP="00037611">
      <w:pPr>
        <w:spacing w:after="206" w:line="360" w:lineRule="atLeast"/>
        <w:rPr>
          <w:rFonts w:ascii="Arial" w:eastAsia="Times New Roman" w:hAnsi="Arial" w:cs="Arial"/>
          <w:color w:val="636363"/>
          <w:sz w:val="16"/>
          <w:szCs w:val="18"/>
        </w:rPr>
      </w:pPr>
      <w:r w:rsidRPr="00037611">
        <w:rPr>
          <w:rFonts w:ascii="Arial" w:eastAsia="Times New Roman" w:hAnsi="Arial" w:cs="Arial"/>
          <w:b/>
          <w:bCs/>
          <w:i/>
          <w:iCs/>
          <w:color w:val="636363"/>
          <w:sz w:val="16"/>
        </w:rPr>
        <w:t>#</w:t>
      </w:r>
      <w:r w:rsidRPr="00037611">
        <w:rPr>
          <w:rFonts w:ascii="Arial" w:eastAsia="Times New Roman" w:hAnsi="Arial" w:cs="Arial"/>
          <w:i/>
          <w:iCs/>
          <w:color w:val="636363"/>
          <w:sz w:val="16"/>
        </w:rPr>
        <w:t xml:space="preserve"> NOTE</w:t>
      </w:r>
      <w:r w:rsidRPr="00037611">
        <w:rPr>
          <w:rFonts w:ascii="Arial" w:eastAsia="Times New Roman" w:hAnsi="Arial" w:cs="Arial"/>
          <w:color w:val="636363"/>
          <w:sz w:val="16"/>
          <w:szCs w:val="18"/>
        </w:rPr>
        <w:t>: CPA Examination-New York State has adopted the 150-credit requirement for admission to the CPA Examination. Students planning to take this examination will be asked to take the additional credits beyond the 120 currently required. You should consult your adviser for details on this change.</w:t>
      </w:r>
    </w:p>
    <w:p w:rsidR="008758CF" w:rsidRPr="00037611" w:rsidRDefault="008758CF">
      <w:pPr>
        <w:rPr>
          <w:sz w:val="14"/>
        </w:rPr>
      </w:pPr>
    </w:p>
    <w:sectPr w:rsidR="008758CF" w:rsidRPr="00037611" w:rsidSect="00875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644D8"/>
    <w:multiLevelType w:val="hybridMultilevel"/>
    <w:tmpl w:val="68AE4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11"/>
    <w:rsid w:val="00037611"/>
    <w:rsid w:val="003133E9"/>
    <w:rsid w:val="003907AD"/>
    <w:rsid w:val="00694A5D"/>
    <w:rsid w:val="008758CF"/>
    <w:rsid w:val="00FB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7611"/>
    <w:rPr>
      <w:i/>
      <w:iCs/>
    </w:rPr>
  </w:style>
  <w:style w:type="character" w:styleId="Strong">
    <w:name w:val="Strong"/>
    <w:basedOn w:val="DefaultParagraphFont"/>
    <w:uiPriority w:val="22"/>
    <w:qFormat/>
    <w:rsid w:val="000376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7611"/>
    <w:rPr>
      <w:i/>
      <w:iCs/>
    </w:rPr>
  </w:style>
  <w:style w:type="character" w:styleId="Strong">
    <w:name w:val="Strong"/>
    <w:basedOn w:val="DefaultParagraphFont"/>
    <w:uiPriority w:val="22"/>
    <w:qFormat/>
    <w:rsid w:val="00037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36348">
      <w:bodyDiv w:val="1"/>
      <w:marLeft w:val="0"/>
      <w:marRight w:val="0"/>
      <w:marTop w:val="0"/>
      <w:marBottom w:val="0"/>
      <w:divBdr>
        <w:top w:val="none" w:sz="0" w:space="0" w:color="auto"/>
        <w:left w:val="none" w:sz="0" w:space="0" w:color="auto"/>
        <w:bottom w:val="none" w:sz="0" w:space="0" w:color="auto"/>
        <w:right w:val="none" w:sz="0" w:space="0" w:color="auto"/>
      </w:divBdr>
      <w:divsChild>
        <w:div w:id="33502417">
          <w:marLeft w:val="0"/>
          <w:marRight w:val="0"/>
          <w:marTop w:val="0"/>
          <w:marBottom w:val="0"/>
          <w:divBdr>
            <w:top w:val="none" w:sz="0" w:space="0" w:color="auto"/>
            <w:left w:val="none" w:sz="0" w:space="0" w:color="auto"/>
            <w:bottom w:val="none" w:sz="0" w:space="0" w:color="auto"/>
            <w:right w:val="none" w:sz="0" w:space="0" w:color="auto"/>
          </w:divBdr>
          <w:divsChild>
            <w:div w:id="1685665422">
              <w:marLeft w:val="0"/>
              <w:marRight w:val="0"/>
              <w:marTop w:val="0"/>
              <w:marBottom w:val="0"/>
              <w:divBdr>
                <w:top w:val="none" w:sz="0" w:space="0" w:color="auto"/>
                <w:left w:val="none" w:sz="0" w:space="0" w:color="auto"/>
                <w:bottom w:val="none" w:sz="0" w:space="0" w:color="auto"/>
                <w:right w:val="none" w:sz="0" w:space="0" w:color="auto"/>
              </w:divBdr>
              <w:divsChild>
                <w:div w:id="530725818">
                  <w:marLeft w:val="0"/>
                  <w:marRight w:val="0"/>
                  <w:marTop w:val="0"/>
                  <w:marBottom w:val="0"/>
                  <w:divBdr>
                    <w:top w:val="none" w:sz="0" w:space="0" w:color="auto"/>
                    <w:left w:val="none" w:sz="0" w:space="0" w:color="auto"/>
                    <w:bottom w:val="none" w:sz="0" w:space="0" w:color="auto"/>
                    <w:right w:val="none" w:sz="0" w:space="0" w:color="auto"/>
                  </w:divBdr>
                  <w:divsChild>
                    <w:div w:id="1958872655">
                      <w:marLeft w:val="0"/>
                      <w:marRight w:val="0"/>
                      <w:marTop w:val="0"/>
                      <w:marBottom w:val="0"/>
                      <w:divBdr>
                        <w:top w:val="none" w:sz="0" w:space="0" w:color="auto"/>
                        <w:left w:val="none" w:sz="0" w:space="0" w:color="auto"/>
                        <w:bottom w:val="none" w:sz="0" w:space="0" w:color="auto"/>
                        <w:right w:val="none" w:sz="0" w:space="0" w:color="auto"/>
                      </w:divBdr>
                      <w:divsChild>
                        <w:div w:id="13776402">
                          <w:marLeft w:val="0"/>
                          <w:marRight w:val="0"/>
                          <w:marTop w:val="0"/>
                          <w:marBottom w:val="0"/>
                          <w:divBdr>
                            <w:top w:val="none" w:sz="0" w:space="0" w:color="auto"/>
                            <w:left w:val="none" w:sz="0" w:space="0" w:color="auto"/>
                            <w:bottom w:val="none" w:sz="0" w:space="0" w:color="auto"/>
                            <w:right w:val="none" w:sz="0" w:space="0" w:color="auto"/>
                          </w:divBdr>
                          <w:divsChild>
                            <w:div w:id="203101382">
                              <w:marLeft w:val="0"/>
                              <w:marRight w:val="0"/>
                              <w:marTop w:val="0"/>
                              <w:marBottom w:val="0"/>
                              <w:divBdr>
                                <w:top w:val="none" w:sz="0" w:space="0" w:color="auto"/>
                                <w:left w:val="none" w:sz="0" w:space="0" w:color="auto"/>
                                <w:bottom w:val="none" w:sz="0" w:space="0" w:color="auto"/>
                                <w:right w:val="none" w:sz="0" w:space="0" w:color="auto"/>
                              </w:divBdr>
                              <w:divsChild>
                                <w:div w:id="2027318630">
                                  <w:marLeft w:val="0"/>
                                  <w:marRight w:val="0"/>
                                  <w:marTop w:val="0"/>
                                  <w:marBottom w:val="0"/>
                                  <w:divBdr>
                                    <w:top w:val="none" w:sz="0" w:space="0" w:color="auto"/>
                                    <w:left w:val="none" w:sz="0" w:space="0" w:color="auto"/>
                                    <w:bottom w:val="none" w:sz="0" w:space="0" w:color="auto"/>
                                    <w:right w:val="none" w:sz="0" w:space="0" w:color="auto"/>
                                  </w:divBdr>
                                  <w:divsChild>
                                    <w:div w:id="1339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59E9-30E7-48A4-845E-CD388990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levato</dc:creator>
  <cp:lastModifiedBy>University at Albany</cp:lastModifiedBy>
  <cp:revision>2</cp:revision>
  <dcterms:created xsi:type="dcterms:W3CDTF">2011-10-05T13:55:00Z</dcterms:created>
  <dcterms:modified xsi:type="dcterms:W3CDTF">2011-10-05T13:55:00Z</dcterms:modified>
</cp:coreProperties>
</file>